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415D7" w:rsidRDefault="002169E3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#104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 w:rsidR="00E159A2">
        <w:rPr>
          <w:rFonts w:ascii="Arial" w:hAnsi="Arial" w:cs="Arial" w:hint="eastAsia"/>
          <w:b/>
          <w:bCs/>
          <w:sz w:val="22"/>
          <w:szCs w:val="22"/>
        </w:rPr>
        <w:t>00938</w:t>
      </w:r>
    </w:p>
    <w:p w:rsidR="007415D7" w:rsidRDefault="002169E3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</w:t>
      </w:r>
      <w:r>
        <w:rPr>
          <w:rFonts w:ascii="Arial" w:hAnsi="Arial" w:cs="Arial" w:hint="eastAsia"/>
          <w:b/>
          <w:bCs/>
          <w:sz w:val="22"/>
          <w:szCs w:val="22"/>
        </w:rPr>
        <w:t>, Jan. 25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- </w:t>
      </w:r>
      <w:r>
        <w:rPr>
          <w:rFonts w:ascii="Arial" w:hAnsi="Arial" w:cs="Arial" w:hint="eastAsia"/>
          <w:b/>
          <w:bCs/>
          <w:sz w:val="22"/>
          <w:szCs w:val="22"/>
        </w:rPr>
        <w:t>Feb. 05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>, 2021</w:t>
      </w:r>
    </w:p>
    <w:p w:rsidR="007415D7" w:rsidRDefault="002169E3" w:rsidP="000233DB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The slot set for SL resource allocation procedure</w:t>
      </w:r>
    </w:p>
    <w:p w:rsidR="007415D7" w:rsidRDefault="002169E3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>, Sanechips</w:t>
      </w:r>
    </w:p>
    <w:p w:rsidR="007415D7" w:rsidRDefault="002169E3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</w:t>
      </w:r>
    </w:p>
    <w:p w:rsidR="007415D7" w:rsidRDefault="002169E3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7415D7" w:rsidRDefault="002169E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7415D7" w:rsidRDefault="002169E3">
      <w:pPr>
        <w:spacing w:before="120" w:after="120"/>
        <w:rPr>
          <w:sz w:val="20"/>
        </w:rPr>
      </w:pPr>
      <w:r>
        <w:rPr>
          <w:rFonts w:hint="eastAsia"/>
          <w:sz w:val="20"/>
        </w:rPr>
        <w:t>In the last RAN1 meeting, the following agreements were made</w:t>
      </w:r>
      <w:r w:rsidR="009F032A">
        <w:rPr>
          <w:rFonts w:hint="eastAsia"/>
          <w:sz w:val="20"/>
        </w:rPr>
        <w:t>[1]</w:t>
      </w:r>
      <w:r>
        <w:rPr>
          <w:rFonts w:hint="eastAsia"/>
          <w:sz w:val="20"/>
        </w:rPr>
        <w:t xml:space="preserve"> based on the outcome of the email-thread </w:t>
      </w:r>
      <w:r>
        <w:rPr>
          <w:sz w:val="20"/>
        </w:rPr>
        <w:t>[103-e-NR-Rel-16-V2X-07]</w:t>
      </w:r>
      <w:r>
        <w:rPr>
          <w:rFonts w:hint="eastAsia"/>
          <w:sz w:val="20"/>
        </w:rPr>
        <w:t>.</w:t>
      </w:r>
    </w:p>
    <w:tbl>
      <w:tblPr>
        <w:tblStyle w:val="ad"/>
        <w:tblW w:w="0" w:type="auto"/>
        <w:tblLook w:val="04A0"/>
      </w:tblPr>
      <w:tblGrid>
        <w:gridCol w:w="9876"/>
      </w:tblGrid>
      <w:tr w:rsidR="007415D7">
        <w:tc>
          <w:tcPr>
            <w:tcW w:w="9876" w:type="dxa"/>
          </w:tcPr>
          <w:p w:rsidR="007415D7" w:rsidRDefault="002169E3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Agreements:</w:t>
            </w:r>
          </w:p>
          <w:p w:rsidR="007415D7" w:rsidRDefault="002169E3">
            <w:pPr>
              <w:spacing w:before="120" w:after="1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114300" distR="114300">
                  <wp:extent cx="5731510" cy="7366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15D7" w:rsidRDefault="002169E3">
            <w:pPr>
              <w:spacing w:before="120" w:after="120"/>
              <w:rPr>
                <w:sz w:val="20"/>
              </w:rPr>
            </w:pPr>
            <w:r>
              <w:rPr>
                <w:sz w:val="20"/>
                <w:highlight w:val="green"/>
              </w:rPr>
              <w:t>Agreements:</w:t>
            </w:r>
          </w:p>
          <w:p w:rsidR="007415D7" w:rsidRDefault="002169E3">
            <w:pPr>
              <w:spacing w:before="120" w:after="120"/>
            </w:pPr>
            <w:r>
              <w:rPr>
                <w:noProof/>
                <w:sz w:val="20"/>
              </w:rPr>
              <w:drawing>
                <wp:inline distT="0" distB="0" distL="114300" distR="114300">
                  <wp:extent cx="5731510" cy="361315"/>
                  <wp:effectExtent l="0" t="0" r="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5D7" w:rsidRDefault="002169E3" w:rsidP="000233DB">
      <w:pPr>
        <w:spacing w:beforeLines="100" w:after="120"/>
        <w:rPr>
          <w:sz w:val="20"/>
        </w:rPr>
      </w:pPr>
      <w:r>
        <w:rPr>
          <w:rFonts w:hint="eastAsia"/>
          <w:sz w:val="20"/>
        </w:rPr>
        <w:t>At last RAN1#103-e meeting, the interpretation of sidelink slot set was discussed for the following four cases:</w:t>
      </w:r>
    </w:p>
    <w:p w:rsidR="007415D7" w:rsidRDefault="002169E3">
      <w:pPr>
        <w:pStyle w:val="af2"/>
        <w:numPr>
          <w:ilvl w:val="0"/>
          <w:numId w:val="7"/>
        </w:numPr>
        <w:spacing w:before="120" w:after="120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The slot set which shall be monitored by a UE during Mode 2 sensing procedure.</w:t>
      </w:r>
    </w:p>
    <w:p w:rsidR="007415D7" w:rsidRDefault="002169E3">
      <w:pPr>
        <w:pStyle w:val="af2"/>
        <w:numPr>
          <w:ilvl w:val="0"/>
          <w:numId w:val="7"/>
        </w:numPr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Interpretation of sidelink slot </w:t>
      </w:r>
      <w:r>
        <w:rPr>
          <w:rFonts w:eastAsia="宋体" w:hint="eastAsia"/>
          <w:sz w:val="20"/>
          <w:szCs w:val="20"/>
        </w:rPr>
        <w:t xml:space="preserve">set </w:t>
      </w:r>
      <w:r>
        <w:rPr>
          <w:rFonts w:hint="eastAsia"/>
          <w:sz w:val="20"/>
          <w:szCs w:val="20"/>
        </w:rPr>
        <w:t xml:space="preserve">for </w:t>
      </w:r>
      <w:r>
        <w:rPr>
          <w:rFonts w:eastAsia="宋体"/>
          <w:sz w:val="20"/>
          <w:szCs w:val="20"/>
        </w:rPr>
        <w:t>‘</w:t>
      </w:r>
      <w:r>
        <w:rPr>
          <w:rFonts w:eastAsia="宋体" w:hint="eastAsia"/>
          <w:sz w:val="20"/>
          <w:szCs w:val="20"/>
        </w:rPr>
        <w:t>Time resource assignment</w:t>
      </w:r>
      <w:r>
        <w:rPr>
          <w:rFonts w:eastAsia="宋体"/>
          <w:sz w:val="20"/>
          <w:szCs w:val="20"/>
        </w:rPr>
        <w:t>’</w:t>
      </w:r>
      <w:r>
        <w:rPr>
          <w:rFonts w:eastAsia="宋体" w:hint="eastAsia"/>
          <w:sz w:val="20"/>
          <w:szCs w:val="20"/>
        </w:rPr>
        <w:t>.</w:t>
      </w:r>
    </w:p>
    <w:p w:rsidR="007415D7" w:rsidRDefault="002169E3">
      <w:pPr>
        <w:pStyle w:val="af2"/>
        <w:numPr>
          <w:ilvl w:val="0"/>
          <w:numId w:val="7"/>
        </w:numPr>
        <w:spacing w:before="120" w:after="120"/>
        <w:rPr>
          <w:sz w:val="20"/>
        </w:rPr>
      </w:pPr>
      <w:r>
        <w:rPr>
          <w:rFonts w:hint="eastAsia"/>
          <w:sz w:val="20"/>
          <w:szCs w:val="20"/>
        </w:rPr>
        <w:t>Interpretation of sidelink slot</w:t>
      </w:r>
      <w:r>
        <w:rPr>
          <w:rFonts w:eastAsia="宋体" w:hint="eastAsia"/>
          <w:sz w:val="20"/>
          <w:szCs w:val="20"/>
        </w:rPr>
        <w:t xml:space="preserve"> set</w:t>
      </w:r>
      <w:r>
        <w:rPr>
          <w:rFonts w:hint="eastAsia"/>
          <w:sz w:val="20"/>
          <w:szCs w:val="20"/>
        </w:rPr>
        <w:t xml:space="preserve"> for </w:t>
      </w:r>
      <w:r>
        <w:rPr>
          <w:rFonts w:eastAsia="宋体" w:hint="eastAsia"/>
          <w:sz w:val="20"/>
          <w:szCs w:val="20"/>
        </w:rPr>
        <w:t>resource reservation period.</w:t>
      </w:r>
    </w:p>
    <w:p w:rsidR="007415D7" w:rsidRDefault="002169E3">
      <w:pPr>
        <w:pStyle w:val="af2"/>
        <w:numPr>
          <w:ilvl w:val="0"/>
          <w:numId w:val="7"/>
        </w:numPr>
        <w:spacing w:before="120" w:after="120"/>
        <w:rPr>
          <w:sz w:val="20"/>
        </w:rPr>
      </w:pPr>
      <w:r>
        <w:rPr>
          <w:rFonts w:hint="eastAsia"/>
          <w:sz w:val="20"/>
          <w:szCs w:val="20"/>
        </w:rPr>
        <w:t>Interpretation of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</w:rPr>
        <w:t xml:space="preserve">the number of logical slots for a </w:t>
      </w:r>
      <w:r>
        <w:rPr>
          <w:rFonts w:hint="eastAsia"/>
          <w:sz w:val="20"/>
        </w:rPr>
        <w:t xml:space="preserve">resource </w:t>
      </w:r>
      <w:r>
        <w:rPr>
          <w:sz w:val="20"/>
        </w:rPr>
        <w:t>reservation period</w:t>
      </w:r>
      <w:r>
        <w:rPr>
          <w:rFonts w:hint="eastAsia"/>
          <w:sz w:val="20"/>
        </w:rPr>
        <w:t>.</w:t>
      </w:r>
    </w:p>
    <w:p w:rsidR="007415D7" w:rsidRDefault="002169E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We have achieved the above agreements on the logical slot set used for sensing and </w:t>
      </w:r>
      <w:r>
        <w:rPr>
          <w:sz w:val="20"/>
        </w:rPr>
        <w:t>‘</w:t>
      </w:r>
      <w:r>
        <w:rPr>
          <w:rFonts w:hint="eastAsia"/>
          <w:sz w:val="20"/>
        </w:rPr>
        <w:t>Time resource assignment</w:t>
      </w:r>
      <w:r>
        <w:rPr>
          <w:sz w:val="20"/>
        </w:rPr>
        <w:t>’</w:t>
      </w:r>
      <w:r>
        <w:rPr>
          <w:rFonts w:hint="eastAsia"/>
          <w:sz w:val="20"/>
        </w:rPr>
        <w:t>, but there are still some leftover issues for c) and d). And the following alternatives were proposed during the discussion</w:t>
      </w:r>
      <w:r>
        <w:rPr>
          <w:rFonts w:hint="eastAsia"/>
          <w:sz w:val="20"/>
        </w:rPr>
        <w:t>：</w:t>
      </w:r>
    </w:p>
    <w:tbl>
      <w:tblPr>
        <w:tblStyle w:val="ad"/>
        <w:tblW w:w="0" w:type="auto"/>
        <w:tblLook w:val="04A0"/>
      </w:tblPr>
      <w:tblGrid>
        <w:gridCol w:w="9876"/>
      </w:tblGrid>
      <w:tr w:rsidR="007415D7">
        <w:tc>
          <w:tcPr>
            <w:tcW w:w="9876" w:type="dxa"/>
          </w:tcPr>
          <w:p w:rsidR="007415D7" w:rsidRDefault="002169E3">
            <w:pPr>
              <w:spacing w:before="120" w:after="120"/>
              <w:rPr>
                <w:rFonts w:ascii="Calibri" w:eastAsia="Gulim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Q2. What option can you accept for the interpretation of sidelink slot for resource reservation period?</w:t>
            </w:r>
          </w:p>
          <w:p w:rsidR="007415D7" w:rsidRDefault="002169E3">
            <w:pPr>
              <w:spacing w:before="120" w:after="12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Option 0: No additional agreement</w:t>
            </w:r>
          </w:p>
          <w:p w:rsidR="007415D7" w:rsidRDefault="002169E3">
            <w:pPr>
              <w:spacing w:before="120" w:after="12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hAnsi="Calibri" w:cs="Calibri"/>
                <w:sz w:val="20"/>
              </w:rPr>
              <w:t xml:space="preserve">Option 1: </w:t>
            </w:r>
            <w:r>
              <w:rPr>
                <w:rFonts w:ascii="Calibri" w:hAnsi="Calibri" w:cs="Calibri"/>
                <w:sz w:val="20"/>
                <w:lang w:val="en-GB"/>
              </w:rPr>
              <w:t>If a UE transmits a SCI format 1-A in slot n in a resource pool, and if “Resource reservation period” in the SCI format 1-A indicates P’ (following 8.1.7 of 38.214),</w:t>
            </w:r>
          </w:p>
          <w:p w:rsidR="007415D7" w:rsidRDefault="002169E3">
            <w:pPr>
              <w:numPr>
                <w:ilvl w:val="0"/>
                <w:numId w:val="8"/>
              </w:numPr>
              <w:spacing w:before="120" w:after="120" w:line="264" w:lineRule="auto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hAnsi="Calibri" w:cs="Calibri"/>
                <w:sz w:val="20"/>
                <w:lang w:val="en-GB"/>
              </w:rPr>
              <w:t xml:space="preserve">P’ is counted in </w:t>
            </w:r>
            <m:oMath>
              <m:d>
                <m:dPr>
                  <m:ctrlPr>
                    <w:rPr>
                      <w:rFonts w:ascii="Cambria Math" w:eastAsia="Gulim" w:hAnsi="Cambria Math" w:cs="Gulim"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Gulim" w:hAnsi="Cambria Math" w:cs="Gulim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Gulim" w:hAnsi="Cambria Math" w:cs="Gulim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Gulim" w:hAnsi="Cambria Math" w:cs="Gulim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>,…</m:t>
                  </m:r>
                </m:e>
              </m:d>
            </m:oMath>
            <w:r>
              <w:rPr>
                <w:rFonts w:ascii="Calibri" w:hAnsi="Calibri" w:cs="Calibri"/>
                <w:sz w:val="20"/>
              </w:rPr>
              <w:t xml:space="preserve"> (i.e. </w:t>
            </w:r>
            <w:r>
              <w:rPr>
                <w:rFonts w:ascii="Calibri" w:hAnsi="Calibri" w:cs="Calibri"/>
                <w:sz w:val="20"/>
                <w:lang w:val="en-GB"/>
              </w:rPr>
              <w:t>The number of slots in the resource pool between slot n and slot n+P’ is always the same as P’ (including slot n+P’ itself)).</w:t>
            </w:r>
          </w:p>
          <w:p w:rsidR="007415D7" w:rsidRDefault="002169E3">
            <w:pPr>
              <w:spacing w:before="120" w:after="12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hAnsi="Calibri" w:cs="Calibri"/>
                <w:sz w:val="20"/>
                <w:lang w:val="en-GB"/>
              </w:rPr>
              <w:t xml:space="preserve">Option 2: If a UE transmits a SCI format 1-A in slot n in a resource pool, and if “Resource reservation period” in the SCI format 1-A indicates P’ (following 8.1.7 of 38.214), P’ is counted in </w:t>
            </w:r>
            <m:oMath>
              <m:d>
                <m:dPr>
                  <m:ctrlPr>
                    <w:rPr>
                      <w:rFonts w:ascii="Cambria Math" w:eastAsia="Gulim" w:hAnsi="Cambria Math" w:cs="Gulim"/>
                      <w:i/>
                      <w:iCs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Gulim" w:hAnsi="Cambria Math" w:cs="Gulim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Gulim" w:hAnsi="Cambria Math" w:cs="Gulim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Gulim" w:hAnsi="Cambria Math" w:cs="Gulim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>,...</m:t>
                  </m:r>
                </m:e>
              </m:d>
            </m:oMath>
            <w:r>
              <w:rPr>
                <w:rFonts w:ascii="Malgun Gothic" w:eastAsia="Malgun Gothic" w:hAnsi="Malgun Gothic" w:hint="eastAsia"/>
                <w:sz w:val="20"/>
              </w:rPr>
              <w:t xml:space="preserve"> (i.e. </w:t>
            </w:r>
            <w:r>
              <w:rPr>
                <w:rFonts w:ascii="Calibri" w:hAnsi="Calibri" w:cs="Calibri"/>
                <w:sz w:val="20"/>
                <w:lang w:val="en-GB"/>
              </w:rPr>
              <w:t>The number of slots in the resource pool between slot n and slot n+P’ can be less than P’</w:t>
            </w:r>
            <w:r>
              <w:rPr>
                <w:rFonts w:ascii="Malgun Gothic" w:eastAsia="Malgun Gothic" w:hAnsi="Malgun Gothic" w:hint="eastAsia"/>
                <w:sz w:val="20"/>
              </w:rPr>
              <w:t>).</w:t>
            </w:r>
          </w:p>
          <w:p w:rsidR="007415D7" w:rsidRDefault="002169E3">
            <w:pPr>
              <w:numPr>
                <w:ilvl w:val="1"/>
                <w:numId w:val="8"/>
              </w:numPr>
              <w:spacing w:before="120" w:after="12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sz w:val="20"/>
                <w:lang w:val="en-GB" w:eastAsia="ja-JP"/>
              </w:rPr>
              <w:t>Option 2-1: No further change</w:t>
            </w:r>
          </w:p>
          <w:p w:rsidR="007415D7" w:rsidRDefault="002169E3">
            <w:pPr>
              <w:numPr>
                <w:ilvl w:val="1"/>
                <w:numId w:val="8"/>
              </w:numPr>
              <w:spacing w:before="120" w:after="12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sz w:val="20"/>
                <w:lang w:val="en-GB" w:eastAsia="ja-JP"/>
              </w:rPr>
              <w:lastRenderedPageBreak/>
              <w:t xml:space="preserve">Option 2-2: Add </w:t>
            </w:r>
            <w:r>
              <w:rPr>
                <w:rFonts w:ascii="MS Mincho" w:eastAsia="MS Mincho" w:hint="eastAsia"/>
                <w:sz w:val="20"/>
                <w:lang w:eastAsia="ja-JP"/>
              </w:rPr>
              <w:t>“</w:t>
            </w:r>
            <w:r>
              <w:rPr>
                <w:sz w:val="20"/>
                <w:lang w:eastAsia="ja-JP"/>
              </w:rPr>
              <w:t xml:space="preserve">UE expects </w:t>
            </w:r>
            <m:oMath>
              <m:sSubSup>
                <m:sSubSupPr>
                  <m:ctrlPr>
                    <w:rPr>
                      <w:rFonts w:ascii="Cambria Math" w:eastAsia="Gulim" w:hAnsi="Cambria Math" w:cs="Gulim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t</m:t>
                  </m:r>
                </m:e>
                <m:sub>
                  <m:func>
                    <m:func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m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+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j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×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rsvp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_</m:t>
                      </m:r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TX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SL</m:t>
                  </m:r>
                </m:sup>
              </m:sSubSup>
            </m:oMath>
            <w:r>
              <w:rPr>
                <w:sz w:val="20"/>
                <w:lang w:eastAsia="ja-JP"/>
              </w:rPr>
              <w:t xml:space="preserve"> belong to the set of slots assigned to the resource pool.</w:t>
            </w:r>
            <w:r>
              <w:rPr>
                <w:rFonts w:ascii="MS Mincho" w:eastAsia="MS Mincho" w:hint="eastAsia"/>
                <w:sz w:val="20"/>
                <w:lang w:eastAsia="ja-JP"/>
              </w:rPr>
              <w:t>”</w:t>
            </w:r>
          </w:p>
          <w:p w:rsidR="007415D7" w:rsidRDefault="002169E3">
            <w:pPr>
              <w:numPr>
                <w:ilvl w:val="1"/>
                <w:numId w:val="8"/>
              </w:numPr>
              <w:spacing w:before="120" w:after="120"/>
              <w:rPr>
                <w:sz w:val="20"/>
                <w:lang w:eastAsia="ja-JP"/>
              </w:rPr>
            </w:pPr>
            <w:r>
              <w:rPr>
                <w:sz w:val="20"/>
                <w:lang w:val="en-GB" w:eastAsia="ja-JP"/>
              </w:rPr>
              <w:t xml:space="preserve">Option 2-3: Add </w:t>
            </w:r>
            <w:r>
              <w:rPr>
                <w:rFonts w:ascii="MS Mincho" w:eastAsia="MS Mincho" w:hint="eastAsia"/>
                <w:sz w:val="20"/>
                <w:lang w:eastAsia="ja-JP"/>
              </w:rPr>
              <w:t>“</w:t>
            </w:r>
            <w:r>
              <w:rPr>
                <w:sz w:val="20"/>
                <w:lang w:eastAsia="ja-JP"/>
              </w:rPr>
              <w:t>If slot</w:t>
            </w:r>
            <w:r>
              <w:rPr>
                <w:rFonts w:ascii="Malgun Gothic" w:eastAsia="Malgun Gothic" w:hAnsi="Malgun Gothic" w:hint="eastAsia"/>
                <w:sz w:val="20"/>
                <w:lang w:eastAsia="ja-JP"/>
              </w:rPr>
              <w:t> </w:t>
            </w:r>
            <m:oMath>
              <m:sSubSup>
                <m:sSubSupPr>
                  <m:ctrlPr>
                    <w:rPr>
                      <w:rFonts w:ascii="Cambria Math" w:eastAsia="Gulim" w:hAnsi="Cambria Math" w:cs="Gulim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t</m:t>
                  </m:r>
                </m:e>
                <m:sub>
                  <m:func>
                    <m:func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m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+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j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×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rsvp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_</m:t>
                      </m:r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TX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SL</m:t>
                  </m:r>
                </m:sup>
              </m:sSubSup>
            </m:oMath>
            <w:r>
              <w:rPr>
                <w:sz w:val="20"/>
                <w:lang w:eastAsia="ja-JP"/>
              </w:rPr>
              <w:t xml:space="preserve"> is not in the resource pool, the next slot in the resource pool should be used instead.</w:t>
            </w:r>
            <w:r>
              <w:rPr>
                <w:rFonts w:ascii="MS Mincho" w:eastAsia="MS Mincho" w:hint="eastAsia"/>
                <w:sz w:val="20"/>
                <w:lang w:eastAsia="ja-JP"/>
              </w:rPr>
              <w:t>”</w:t>
            </w:r>
          </w:p>
          <w:p w:rsidR="007415D7" w:rsidRDefault="002169E3">
            <w:pPr>
              <w:spacing w:before="120" w:after="12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Option 3: If a UE transmits a SCI format 1-A in slot n in a resource pool, “Resource reservation period” P in the SCI format 1-A indicates the period in terms of ms.</w:t>
            </w:r>
          </w:p>
          <w:p w:rsidR="007415D7" w:rsidRDefault="002169E3">
            <w:pPr>
              <w:numPr>
                <w:ilvl w:val="1"/>
                <w:numId w:val="8"/>
              </w:numPr>
              <w:spacing w:before="120" w:after="12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sz w:val="20"/>
                <w:lang w:val="en-GB" w:eastAsia="ja-JP"/>
              </w:rPr>
              <w:t>If the physical slot after P ms is not in the resource pool, the next slot in the resource pool should be used instead.</w:t>
            </w:r>
          </w:p>
          <w:p w:rsidR="007415D7" w:rsidRDefault="002169E3">
            <w:pPr>
              <w:spacing w:before="120" w:after="12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hAnsi="Calibri" w:cs="Calibri"/>
                <w:sz w:val="20"/>
                <w:lang w:val="en-GB"/>
              </w:rPr>
              <w:t xml:space="preserve">Option </w:t>
            </w:r>
            <w:r>
              <w:rPr>
                <w:rFonts w:ascii="Calibri" w:hAnsi="Calibri" w:cs="Calibri"/>
                <w:sz w:val="20"/>
              </w:rPr>
              <w:t>4</w:t>
            </w:r>
            <w:r>
              <w:rPr>
                <w:rFonts w:ascii="Calibri" w:hAnsi="Calibri" w:cs="Calibri"/>
                <w:sz w:val="20"/>
                <w:lang w:val="en-GB"/>
              </w:rPr>
              <w:t xml:space="preserve">: If a UE transmits a SCI format 1-A in slot n in a resource pool, and if “Resource reservation period” in the SCI format 1-A indicates P’ (following 8.1.7 of 38.214), P’ is counted in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t</m:t>
              </m:r>
            </m:oMath>
            <w:r>
              <w:rPr>
                <w:rFonts w:ascii="Calibri" w:hAnsi="Calibri" w:cs="Calibri"/>
                <w:sz w:val="20"/>
              </w:rPr>
              <w:t xml:space="preserve">he slots </w:t>
            </w:r>
            <w:r>
              <w:rPr>
                <w:rFonts w:ascii="Calibri" w:hAnsi="Calibri" w:cs="Calibri"/>
                <w:sz w:val="20"/>
                <w:lang w:val="en-GB"/>
              </w:rPr>
              <w:t xml:space="preserve">that can be used for SL transmission </w:t>
            </w:r>
            <w:r>
              <w:rPr>
                <w:rFonts w:ascii="Malgun Gothic" w:eastAsia="Malgun Gothic" w:hAnsi="Malgun Gothic" w:hint="eastAsia"/>
                <w:sz w:val="20"/>
              </w:rPr>
              <w:t xml:space="preserve">(i.e. </w:t>
            </w:r>
            <w:r>
              <w:rPr>
                <w:rFonts w:ascii="Calibri" w:hAnsi="Calibri" w:cs="Calibri"/>
                <w:sz w:val="20"/>
              </w:rPr>
              <w:t>the gap between the slots indicated in SCI within two periods is P</w:t>
            </w:r>
            <w:r>
              <w:rPr>
                <w:rFonts w:ascii="Malgun Gothic" w:eastAsia="Malgun Gothic" w:hAnsi="Malgun Gothic" w:hint="eastAsia"/>
                <w:sz w:val="20"/>
              </w:rPr>
              <w:t>).</w:t>
            </w:r>
          </w:p>
          <w:p w:rsidR="007415D7" w:rsidRDefault="002169E3">
            <w:pPr>
              <w:numPr>
                <w:ilvl w:val="1"/>
                <w:numId w:val="8"/>
              </w:numPr>
              <w:spacing w:before="120" w:after="120"/>
              <w:rPr>
                <w:sz w:val="20"/>
              </w:rPr>
            </w:pPr>
            <w:r>
              <w:rPr>
                <w:sz w:val="20"/>
                <w:lang w:val="en-GB" w:eastAsia="ja-JP"/>
              </w:rPr>
              <w:t xml:space="preserve"> Add </w:t>
            </w:r>
            <w:r>
              <w:rPr>
                <w:rFonts w:ascii="MS Mincho" w:eastAsia="MS Mincho" w:hint="eastAsia"/>
                <w:sz w:val="20"/>
                <w:lang w:eastAsia="ja-JP"/>
              </w:rPr>
              <w:t>“</w:t>
            </w:r>
            <w:r>
              <w:rPr>
                <w:sz w:val="20"/>
                <w:lang w:eastAsia="ja-JP"/>
              </w:rPr>
              <w:t xml:space="preserve">UE expects </w:t>
            </w:r>
            <m:oMath>
              <m:sSubSup>
                <m:sSubSupPr>
                  <m:ctrlPr>
                    <w:rPr>
                      <w:rFonts w:ascii="Cambria Math" w:eastAsia="Gulim" w:hAnsi="Cambria Math" w:cs="Gulim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t</m:t>
                  </m:r>
                </m:e>
                <m:sub>
                  <m:func>
                    <m:func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m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+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j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×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eastAsia="Gulim" w:hAnsi="Cambria Math" w:cs="Gulim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rsvp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_</m:t>
                      </m:r>
                      <m: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TX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ja-JP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sz w:val="20"/>
                      <w:lang w:eastAsia="ja-JP"/>
                    </w:rPr>
                    <m:t>SL</m:t>
                  </m:r>
                </m:sup>
              </m:sSubSup>
            </m:oMath>
            <w:r>
              <w:rPr>
                <w:sz w:val="20"/>
                <w:lang w:eastAsia="ja-JP"/>
              </w:rPr>
              <w:t xml:space="preserve"> belong to the set of slots assigned to the resource pool.</w:t>
            </w:r>
            <w:r>
              <w:rPr>
                <w:rFonts w:ascii="MS Mincho" w:eastAsia="MS Mincho" w:hint="eastAsia"/>
                <w:sz w:val="20"/>
                <w:lang w:eastAsia="ja-JP"/>
              </w:rPr>
              <w:t>”</w:t>
            </w:r>
          </w:p>
          <w:p w:rsidR="007415D7" w:rsidRDefault="002169E3">
            <w:pPr>
              <w:pStyle w:val="ab"/>
              <w:spacing w:before="120" w:beforeAutospacing="0" w:after="120" w:afterAutospacing="0"/>
              <w:rPr>
                <w:sz w:val="20"/>
              </w:rPr>
            </w:pPr>
            <w:r>
              <w:rPr>
                <w:rFonts w:ascii="Malgun Gothic" w:eastAsia="Malgun Gothic" w:hAnsi="Malgun Gothic" w:hint="eastAsia"/>
                <w:color w:val="1F497D"/>
                <w:sz w:val="20"/>
              </w:rPr>
              <w:t>Option 1’ = Option 1 + updated equation in 8.1.7 (N is the number of slots belonging to the resource pool)</w:t>
            </w:r>
          </w:p>
        </w:tc>
      </w:tr>
    </w:tbl>
    <w:p w:rsidR="007415D7" w:rsidRDefault="002169E3">
      <w:pPr>
        <w:spacing w:before="120" w:after="120"/>
        <w:rPr>
          <w:rFonts w:cs="Batang"/>
          <w:sz w:val="20"/>
        </w:rPr>
      </w:pPr>
      <w:r>
        <w:rPr>
          <w:rFonts w:hint="eastAsia"/>
          <w:sz w:val="20"/>
        </w:rPr>
        <w:lastRenderedPageBreak/>
        <w:t>These leftover issues for c) and d) are highly related and could be discussed together.</w:t>
      </w:r>
    </w:p>
    <w:p w:rsidR="007415D7" w:rsidRDefault="002169E3">
      <w:pPr>
        <w:pStyle w:val="1"/>
        <w:spacing w:before="120" w:after="120"/>
        <w:ind w:left="0"/>
      </w:pPr>
      <w:r>
        <w:rPr>
          <w:rFonts w:eastAsia="宋体" w:hint="eastAsia"/>
        </w:rPr>
        <w:t>Discussion</w:t>
      </w:r>
    </w:p>
    <w:p w:rsidR="007415D7" w:rsidRDefault="00207115">
      <w:pPr>
        <w:spacing w:before="120" w:after="120"/>
        <w:rPr>
          <w:sz w:val="20"/>
        </w:rPr>
      </w:pPr>
      <w:r>
        <w:rPr>
          <w:rFonts w:hint="eastAsia"/>
          <w:sz w:val="20"/>
        </w:rPr>
        <w:t>In</w:t>
      </w:r>
      <w:r w:rsidR="002169E3">
        <w:rPr>
          <w:rFonts w:hint="eastAsia"/>
          <w:sz w:val="20"/>
        </w:rPr>
        <w:t xml:space="preserve"> current NR SL structure, in our view, four levels of slot sets</w:t>
      </w:r>
      <w:r w:rsidR="00220EAE">
        <w:rPr>
          <w:rFonts w:hint="eastAsia"/>
          <w:sz w:val="20"/>
        </w:rPr>
        <w:t xml:space="preserve"> have</w:t>
      </w:r>
      <w:r w:rsidR="002169E3">
        <w:rPr>
          <w:rFonts w:hint="eastAsia"/>
          <w:sz w:val="20"/>
        </w:rPr>
        <w:t xml:space="preserve"> been defined</w:t>
      </w:r>
      <w:r w:rsidR="00220EAE">
        <w:rPr>
          <w:rFonts w:hint="eastAsia"/>
          <w:sz w:val="20"/>
        </w:rPr>
        <w:t xml:space="preserve"> in the spec</w:t>
      </w:r>
      <w:r w:rsidR="002169E3">
        <w:rPr>
          <w:rFonts w:hint="eastAsia"/>
          <w:sz w:val="20"/>
        </w:rPr>
        <w:t>:</w:t>
      </w:r>
    </w:p>
    <w:p w:rsidR="007415D7" w:rsidRDefault="002169E3">
      <w:pPr>
        <w:pStyle w:val="af2"/>
        <w:numPr>
          <w:ilvl w:val="0"/>
          <w:numId w:val="9"/>
        </w:numPr>
        <w:spacing w:before="120" w:after="120"/>
        <w:ind w:leftChars="199" w:left="638" w:hangingChars="110" w:hanging="220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L0: physical slots</w:t>
      </w:r>
      <w:r>
        <w:rPr>
          <w:sz w:val="20"/>
          <w:szCs w:val="20"/>
        </w:rPr>
        <w:t>.</w:t>
      </w:r>
    </w:p>
    <w:p w:rsidR="007415D7" w:rsidRDefault="002169E3">
      <w:pPr>
        <w:pStyle w:val="af2"/>
        <w:numPr>
          <w:ilvl w:val="0"/>
          <w:numId w:val="9"/>
        </w:numPr>
        <w:spacing w:before="120" w:after="120"/>
        <w:ind w:leftChars="199" w:left="638" w:hangingChars="110" w:hanging="220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L1: slots can be used for SL communication.</w:t>
      </w:r>
    </w:p>
    <w:p w:rsidR="00CF3099" w:rsidRDefault="002169E3">
      <w:pPr>
        <w:pStyle w:val="af2"/>
        <w:numPr>
          <w:ilvl w:val="1"/>
          <w:numId w:val="9"/>
        </w:numPr>
        <w:spacing w:before="156" w:after="120"/>
        <w:ind w:leftChars="398" w:left="1058" w:hangingChars="111" w:hanging="222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i.e., excluding any slot from L0 if at least one of Y-th, (Y+1)-th, </w:t>
      </w:r>
      <w:r>
        <w:rPr>
          <w:rFonts w:eastAsia="宋体" w:hint="eastAsia"/>
          <w:sz w:val="20"/>
          <w:szCs w:val="20"/>
        </w:rPr>
        <w:t>…</w:t>
      </w:r>
      <w:r>
        <w:rPr>
          <w:rFonts w:eastAsia="宋体" w:hint="eastAsia"/>
          <w:sz w:val="20"/>
          <w:szCs w:val="20"/>
        </w:rPr>
        <w:t xml:space="preserve">, (Y+X-1)-th OFDM symbols in this slot are semi-statically configured as DL or F as per </w:t>
      </w:r>
      <w:r w:rsidR="00DA07B5" w:rsidRPr="00DA07B5">
        <w:rPr>
          <w:rFonts w:eastAsia="宋体"/>
          <w:i/>
          <w:sz w:val="20"/>
          <w:szCs w:val="20"/>
        </w:rPr>
        <w:t>tdd-UL-DL-ConfigurationCommon</w:t>
      </w:r>
      <w:r w:rsidR="00DA07B5" w:rsidRPr="00DA07B5">
        <w:rPr>
          <w:rFonts w:eastAsia="宋体"/>
          <w:sz w:val="20"/>
          <w:szCs w:val="20"/>
        </w:rPr>
        <w:t xml:space="preserve"> or </w:t>
      </w:r>
      <w:r w:rsidR="00DA07B5" w:rsidRPr="00DA07B5">
        <w:rPr>
          <w:rFonts w:eastAsia="宋体"/>
          <w:i/>
          <w:sz w:val="20"/>
          <w:szCs w:val="20"/>
        </w:rPr>
        <w:t>sl-TDD-Configuration</w:t>
      </w:r>
    </w:p>
    <w:p w:rsidR="007415D7" w:rsidRDefault="002169E3">
      <w:pPr>
        <w:pStyle w:val="af2"/>
        <w:numPr>
          <w:ilvl w:val="0"/>
          <w:numId w:val="9"/>
        </w:numPr>
        <w:spacing w:before="120" w:after="120"/>
        <w:ind w:leftChars="199" w:left="638" w:hangingChars="110" w:hanging="220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L2: slots can belong to a SL resource pool.</w:t>
      </w:r>
    </w:p>
    <w:p w:rsidR="007415D7" w:rsidRDefault="002169E3">
      <w:pPr>
        <w:pStyle w:val="af2"/>
        <w:numPr>
          <w:ilvl w:val="1"/>
          <w:numId w:val="9"/>
        </w:numPr>
        <w:spacing w:before="120" w:after="120"/>
        <w:ind w:leftChars="398" w:left="1058" w:hangingChars="111" w:hanging="222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i.e.,</w:t>
      </w:r>
      <w:r>
        <w:rPr>
          <w:rFonts w:ascii="Cambria Math" w:eastAsia="宋体" w:hAnsi="Cambria Math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further </w:t>
      </w:r>
      <w:r>
        <w:rPr>
          <w:rFonts w:eastAsia="宋体" w:hint="eastAsia"/>
          <w:sz w:val="20"/>
          <w:szCs w:val="20"/>
          <w:lang w:eastAsia="ko-KR"/>
        </w:rPr>
        <w:t xml:space="preserve">excluding </w:t>
      </w:r>
      <m:oMath>
        <m:sSub>
          <m:sSubPr>
            <m:ctrlPr>
              <w:rPr>
                <w:rFonts w:ascii="Cambria Math" w:eastAsia="宋体" w:hAnsi="Cambria Math" w:hint="eastAsia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宋体" w:hAnsi="Cambria Math" w:hint="eastAsia"/>
                <w:sz w:val="20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="宋体" w:hAnsi="Cambria Math" w:hint="eastAsia"/>
                <w:sz w:val="20"/>
                <w:szCs w:val="20"/>
                <w:lang w:eastAsia="ko-KR"/>
              </w:rPr>
              <m:t>S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</w:rPr>
              <m:t>-</m:t>
            </m:r>
            <m:r>
              <w:rPr>
                <w:rFonts w:ascii="Cambria Math" w:eastAsia="宋体" w:hAnsi="Cambria Math" w:hint="eastAsia"/>
                <w:sz w:val="20"/>
                <w:szCs w:val="20"/>
                <w:lang w:eastAsia="ko-KR"/>
              </w:rPr>
              <m:t>SSB</m:t>
            </m:r>
          </m:sub>
        </m:sSub>
      </m:oMath>
      <w:r>
        <w:rPr>
          <w:rFonts w:eastAsia="宋体" w:hint="eastAsia"/>
          <w:sz w:val="20"/>
          <w:szCs w:val="20"/>
          <w:lang w:eastAsia="ko-KR"/>
        </w:rPr>
        <w:t xml:space="preserve"> slots</w:t>
      </w:r>
      <w:r>
        <w:rPr>
          <w:rFonts w:eastAsia="宋体" w:hint="eastAsia"/>
          <w:sz w:val="20"/>
          <w:szCs w:val="20"/>
        </w:rPr>
        <w:t xml:space="preserve"> and the reserved slots from L1, where the reserved slots are determined according 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ko-KR"/>
              </w:rPr>
              <m:t>bitmap</m:t>
            </m:r>
          </m:sub>
        </m:sSub>
      </m:oMath>
      <w:r>
        <w:rPr>
          <w:rFonts w:eastAsia="宋体" w:hint="eastAsia"/>
          <w:sz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the length of bitmap configured for this resource pool. </w:t>
      </w:r>
    </w:p>
    <w:p w:rsidR="007415D7" w:rsidRDefault="002169E3">
      <w:pPr>
        <w:pStyle w:val="af2"/>
        <w:numPr>
          <w:ilvl w:val="1"/>
          <w:numId w:val="9"/>
        </w:numPr>
        <w:spacing w:before="120" w:after="120"/>
        <w:ind w:leftChars="398" w:left="1058" w:hangingChars="111" w:hanging="222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L2 is denoted as </w:t>
      </w:r>
      <m:oMath>
        <m:d>
          <m:dPr>
            <m:ctrlPr>
              <w:rPr>
                <w:rFonts w:ascii="Cambria Math" w:eastAsiaTheme="minorHAnsi" w:hAnsiTheme="minorHAnsi" w:cstheme="minorBidi"/>
                <w:i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Theme="minorHAnsi" w:hAnsiTheme="minorHAnsi" w:cstheme="minorBidi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SL</m:t>
                </m:r>
              </m:sup>
            </m:sSubSup>
            <m:r>
              <w:rPr>
                <w:rFonts w:ascii="Cambria Math" w:eastAsiaTheme="minorHAnsi" w:hAnsiTheme="minorHAnsi" w:cstheme="minorBidi"/>
                <w:sz w:val="20"/>
                <w:szCs w:val="20"/>
              </w:rPr>
              <m:t>,</m:t>
            </m:r>
            <m:sSubSup>
              <m:sSubSupPr>
                <m:ctrlPr>
                  <w:rPr>
                    <w:rFonts w:ascii="Cambria Math" w:eastAsiaTheme="minorHAnsi" w:hAnsiTheme="minorHAnsi" w:cstheme="minorBidi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1</m:t>
                </m:r>
              </m:sub>
              <m:sup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SL</m:t>
                </m:r>
              </m:sup>
            </m:sSubSup>
            <m:r>
              <w:rPr>
                <w:rFonts w:ascii="Cambria Math" w:eastAsiaTheme="minorHAnsi" w:hAnsiTheme="minorHAnsi" w:cstheme="minorBidi"/>
                <w:sz w:val="20"/>
                <w:szCs w:val="20"/>
              </w:rPr>
              <m:t>,</m:t>
            </m:r>
            <m:sSubSup>
              <m:sSubSupPr>
                <m:ctrlPr>
                  <w:rPr>
                    <w:rFonts w:ascii="Cambria Math" w:eastAsiaTheme="minorHAnsi" w:hAnsiTheme="minorHAnsi" w:cstheme="minorBidi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eastAsiaTheme="minorHAnsi" w:hAnsiTheme="minorHAnsi" w:cstheme="minorBidi"/>
                    <w:sz w:val="20"/>
                    <w:szCs w:val="20"/>
                  </w:rPr>
                  <m:t>SL</m:t>
                </m:r>
              </m:sup>
            </m:sSubSup>
            <m:r>
              <w:rPr>
                <w:rFonts w:ascii="Cambria Math" w:eastAsiaTheme="minorHAnsi" w:hAnsiTheme="minorHAnsi" w:cstheme="minorBidi"/>
                <w:sz w:val="20"/>
                <w:szCs w:val="20"/>
              </w:rPr>
              <m:t>,...</m:t>
            </m:r>
          </m:e>
        </m:d>
      </m:oMath>
      <w:r>
        <w:rPr>
          <w:rFonts w:eastAsia="宋体" w:hint="eastAsia"/>
          <w:sz w:val="20"/>
          <w:szCs w:val="20"/>
        </w:rPr>
        <w:t xml:space="preserve"> in current specification.</w:t>
      </w:r>
    </w:p>
    <w:p w:rsidR="007415D7" w:rsidRDefault="002169E3">
      <w:pPr>
        <w:pStyle w:val="af2"/>
        <w:numPr>
          <w:ilvl w:val="0"/>
          <w:numId w:val="9"/>
        </w:numPr>
        <w:spacing w:before="120" w:after="120"/>
        <w:ind w:leftChars="199" w:left="638" w:hangingChars="110" w:hanging="220"/>
        <w:rPr>
          <w:sz w:val="20"/>
        </w:rPr>
      </w:pPr>
      <w:r>
        <w:rPr>
          <w:rFonts w:eastAsia="宋体" w:hint="eastAsia"/>
          <w:sz w:val="20"/>
          <w:szCs w:val="20"/>
        </w:rPr>
        <w:t xml:space="preserve">L3: slots belong to a SL resource pool, </w:t>
      </w:r>
    </w:p>
    <w:p w:rsidR="007415D7" w:rsidRDefault="00207115">
      <w:pPr>
        <w:pStyle w:val="af2"/>
        <w:numPr>
          <w:ilvl w:val="1"/>
          <w:numId w:val="9"/>
        </w:numPr>
        <w:spacing w:before="120" w:after="120"/>
        <w:ind w:leftChars="398" w:left="1058" w:hangingChars="111" w:hanging="222"/>
        <w:rPr>
          <w:sz w:val="20"/>
        </w:rPr>
      </w:pPr>
      <w:r>
        <w:rPr>
          <w:rFonts w:eastAsia="宋体" w:hint="eastAsia"/>
          <w:sz w:val="20"/>
          <w:szCs w:val="20"/>
        </w:rPr>
        <w:t xml:space="preserve">L3 </w:t>
      </w:r>
      <w:r w:rsidR="002169E3">
        <w:rPr>
          <w:rFonts w:eastAsia="宋体" w:hint="eastAsia"/>
          <w:sz w:val="20"/>
          <w:szCs w:val="20"/>
        </w:rPr>
        <w:t xml:space="preserve">is denoted as </w:t>
      </w:r>
      <m:oMath>
        <m:d>
          <m:dPr>
            <m:ctrlPr>
              <w:rPr>
                <w:rFonts w:ascii="Cambria Math" w:eastAsia="Malgun Gothic" w:hAnsi="Cambria Math"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  <w:sz w:val="20"/>
                <w:szCs w:val="20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  <w:sz w:val="20"/>
                <w:szCs w:val="20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  <w:sz w:val="20"/>
                    <w:szCs w:val="20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  <w:sz w:val="20"/>
                <w:szCs w:val="20"/>
              </w:rPr>
              <m:t>,…</m:t>
            </m:r>
          </m:e>
        </m:d>
      </m:oMath>
      <w:r w:rsidR="002169E3">
        <w:rPr>
          <w:rFonts w:ascii="Cambria Math" w:eastAsia="宋体" w:hAnsi="Cambria Math" w:hint="eastAsia"/>
          <w:sz w:val="20"/>
          <w:szCs w:val="20"/>
        </w:rPr>
        <w:t>.</w:t>
      </w:r>
    </w:p>
    <w:p w:rsidR="007415D7" w:rsidRDefault="00961D39" w:rsidP="000233DB">
      <w:pPr>
        <w:spacing w:beforeLines="100" w:after="120"/>
        <w:rPr>
          <w:sz w:val="20"/>
        </w:rPr>
      </w:pPr>
      <w:r>
        <w:rPr>
          <w:rFonts w:hint="eastAsia"/>
          <w:sz w:val="20"/>
        </w:rPr>
        <w:t>W</w:t>
      </w:r>
      <w:r w:rsidR="002169E3">
        <w:rPr>
          <w:rFonts w:hint="eastAsia"/>
          <w:sz w:val="20"/>
        </w:rPr>
        <w:t>e can have the following observation</w:t>
      </w:r>
      <w:r w:rsidR="0051350A">
        <w:rPr>
          <w:rFonts w:hint="eastAsia"/>
          <w:sz w:val="20"/>
        </w:rPr>
        <w:t xml:space="preserve"> as to</w:t>
      </w:r>
      <w:r>
        <w:rPr>
          <w:rFonts w:hint="eastAsia"/>
          <w:sz w:val="20"/>
        </w:rPr>
        <w:t xml:space="preserve"> applying different levels of slots under the leftover case c) or d)</w:t>
      </w:r>
      <w:r w:rsidR="0051350A">
        <w:rPr>
          <w:rFonts w:hint="eastAsia"/>
          <w:sz w:val="20"/>
        </w:rPr>
        <w:t xml:space="preserve"> </w:t>
      </w:r>
      <w:r w:rsidR="002169E3">
        <w:rPr>
          <w:rFonts w:hint="eastAsia"/>
          <w:sz w:val="20"/>
        </w:rPr>
        <w:t>:</w:t>
      </w:r>
    </w:p>
    <w:p w:rsidR="007415D7" w:rsidRDefault="007415D7">
      <w:pPr>
        <w:pStyle w:val="YJ-Observation"/>
        <w:spacing w:before="120" w:after="120"/>
        <w:rPr>
          <w:lang w:val="en-US" w:eastAsia="zh-CN"/>
        </w:rPr>
      </w:pPr>
      <w:bookmarkStart w:id="0" w:name="_Toc61617994"/>
      <w:bookmarkEnd w:id="0"/>
    </w:p>
    <w:p w:rsidR="007415D7" w:rsidRDefault="002169E3" w:rsidP="00081451">
      <w:pPr>
        <w:pStyle w:val="YJ-Observation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1" w:name="_Toc61617995"/>
      <w:r>
        <w:rPr>
          <w:rFonts w:hint="eastAsia"/>
          <w:lang w:val="en-US" w:eastAsia="zh-CN"/>
        </w:rPr>
        <w:t>L0 and L1 SL slot</w:t>
      </w:r>
      <w:r w:rsidR="007A6E7D">
        <w:rPr>
          <w:rFonts w:hint="eastAsia"/>
          <w:lang w:val="en-US" w:eastAsia="zh-CN"/>
        </w:rPr>
        <w:t xml:space="preserve"> sets</w:t>
      </w:r>
      <w:r>
        <w:rPr>
          <w:rFonts w:hint="eastAsia"/>
          <w:lang w:val="en-US" w:eastAsia="zh-CN"/>
        </w:rPr>
        <w:t xml:space="preserve"> are periodic</w:t>
      </w:r>
      <w:r w:rsidR="007A6E7D">
        <w:rPr>
          <w:rFonts w:hint="eastAsia"/>
          <w:lang w:val="en-US" w:eastAsia="zh-CN"/>
        </w:rPr>
        <w:t xml:space="preserve"> in the physical duration sense</w:t>
      </w:r>
      <w:r>
        <w:rPr>
          <w:rFonts w:hint="eastAsia"/>
          <w:lang w:val="en-US" w:eastAsia="zh-CN"/>
        </w:rPr>
        <w:t>, and are independent from resource pool configuration</w:t>
      </w:r>
      <w:r w:rsidR="007A6E7D">
        <w:rPr>
          <w:rFonts w:hint="eastAsia"/>
          <w:lang w:val="en-US" w:eastAsia="zh-CN"/>
        </w:rPr>
        <w:t xml:space="preserve"> thus free from resource pool jittering</w:t>
      </w:r>
      <w:bookmarkEnd w:id="1"/>
    </w:p>
    <w:p w:rsidR="007A6E7D" w:rsidRDefault="002169E3" w:rsidP="00081451">
      <w:pPr>
        <w:pStyle w:val="YJ-Observation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2" w:name="_Toc61617996"/>
      <w:r>
        <w:rPr>
          <w:rFonts w:hint="eastAsia"/>
          <w:lang w:val="en-US" w:eastAsia="zh-CN"/>
        </w:rPr>
        <w:t xml:space="preserve">L2 and L3 SL slot sets are </w:t>
      </w:r>
      <w:r w:rsidR="007A6E7D">
        <w:rPr>
          <w:rFonts w:hint="eastAsia"/>
          <w:lang w:val="en-US" w:eastAsia="zh-CN"/>
        </w:rPr>
        <w:t xml:space="preserve">closely related to </w:t>
      </w:r>
      <w:r>
        <w:rPr>
          <w:rFonts w:hint="eastAsia"/>
          <w:lang w:val="en-US" w:eastAsia="zh-CN"/>
        </w:rPr>
        <w:t xml:space="preserve">resource pool </w:t>
      </w:r>
      <w:r w:rsidR="007A6E7D">
        <w:rPr>
          <w:rFonts w:hint="eastAsia"/>
          <w:lang w:val="en-US" w:eastAsia="zh-CN"/>
        </w:rPr>
        <w:t>configuration</w:t>
      </w:r>
      <w:r w:rsidR="0051350A">
        <w:rPr>
          <w:rFonts w:hint="eastAsia"/>
          <w:lang w:val="en-US" w:eastAsia="zh-CN"/>
        </w:rPr>
        <w:t xml:space="preserve"> including e.g. S-SSB and bitmap setting</w:t>
      </w:r>
      <w:r>
        <w:rPr>
          <w:rFonts w:hint="eastAsia"/>
          <w:lang w:val="en-US" w:eastAsia="zh-CN"/>
        </w:rPr>
        <w:t xml:space="preserve">, </w:t>
      </w:r>
      <w:r w:rsidR="007A6E7D">
        <w:rPr>
          <w:rFonts w:hint="eastAsia"/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>which</w:t>
      </w:r>
      <w:r w:rsidR="007A6E7D">
        <w:rPr>
          <w:rFonts w:hint="eastAsia"/>
          <w:lang w:val="en-US" w:eastAsia="zh-CN"/>
        </w:rPr>
        <w:t xml:space="preserve"> the following issues may arise</w:t>
      </w:r>
      <w:bookmarkEnd w:id="2"/>
    </w:p>
    <w:p w:rsidR="00CF3099" w:rsidRDefault="007A6E7D">
      <w:pPr>
        <w:pStyle w:val="YJ-Observation"/>
        <w:numPr>
          <w:ilvl w:val="0"/>
          <w:numId w:val="0"/>
        </w:numPr>
        <w:spacing w:before="120" w:after="120"/>
        <w:ind w:left="840"/>
        <w:rPr>
          <w:lang w:val="en-US" w:eastAsia="zh-CN"/>
        </w:rPr>
      </w:pPr>
      <w:bookmarkStart w:id="3" w:name="_Toc61617997"/>
      <w:r>
        <w:rPr>
          <w:rFonts w:hint="eastAsia"/>
          <w:lang w:val="en-US" w:eastAsia="zh-CN"/>
        </w:rPr>
        <w:t>-</w:t>
      </w:r>
      <w:r w:rsidR="0051350A">
        <w:rPr>
          <w:rFonts w:hint="eastAsia"/>
          <w:lang w:val="en-US" w:eastAsia="zh-CN"/>
        </w:rPr>
        <w:t xml:space="preserve"> In case the Rx pool where SCI is detected should be different from Tx pool where mode 2 transmission takes place, ambiguity and potential collision could take place given the reservation period should be resource pool specific</w:t>
      </w:r>
      <w:bookmarkEnd w:id="3"/>
    </w:p>
    <w:p w:rsidR="00CF3099" w:rsidRDefault="0051350A">
      <w:pPr>
        <w:pStyle w:val="YJ-Observation"/>
        <w:numPr>
          <w:ilvl w:val="0"/>
          <w:numId w:val="0"/>
        </w:numPr>
        <w:spacing w:before="120" w:after="120"/>
        <w:ind w:left="840"/>
        <w:rPr>
          <w:lang w:val="en-US" w:eastAsia="zh-CN"/>
        </w:rPr>
      </w:pPr>
      <w:bookmarkStart w:id="4" w:name="_Toc61617998"/>
      <w:r>
        <w:rPr>
          <w:rFonts w:hint="eastAsia"/>
          <w:lang w:val="en-US" w:eastAsia="zh-CN"/>
        </w:rPr>
        <w:t>-The logical resource reservation period is highly likely to be deviated from the physical resource reservation period if L2 and L3 slots are used due to resource pool jittering</w:t>
      </w:r>
      <w:bookmarkEnd w:id="4"/>
    </w:p>
    <w:p w:rsidR="007415D7" w:rsidRDefault="0051350A" w:rsidP="000233DB">
      <w:pPr>
        <w:spacing w:beforeLines="100" w:after="120"/>
        <w:rPr>
          <w:sz w:val="20"/>
        </w:rPr>
      </w:pPr>
      <w:r>
        <w:rPr>
          <w:rFonts w:hint="eastAsia"/>
        </w:rPr>
        <w:lastRenderedPageBreak/>
        <w:t>The actual</w:t>
      </w:r>
      <w:r w:rsidR="00961D39">
        <w:rPr>
          <w:rFonts w:hint="eastAsia"/>
        </w:rPr>
        <w:t xml:space="preserve"> application of slots under the relevant cases corresponding</w:t>
      </w:r>
      <w:r w:rsidR="00961D39">
        <w:rPr>
          <w:rFonts w:hint="eastAsia"/>
          <w:sz w:val="20"/>
        </w:rPr>
        <w:t xml:space="preserve"> to</w:t>
      </w:r>
      <w:r>
        <w:rPr>
          <w:rFonts w:hint="eastAsia"/>
          <w:sz w:val="20"/>
        </w:rPr>
        <w:t xml:space="preserve"> several </w:t>
      </w:r>
      <w:r w:rsidR="002169E3">
        <w:rPr>
          <w:rFonts w:hint="eastAsia"/>
          <w:sz w:val="20"/>
        </w:rPr>
        <w:t xml:space="preserve">proposed </w:t>
      </w:r>
      <w:r>
        <w:rPr>
          <w:rFonts w:hint="eastAsia"/>
          <w:sz w:val="20"/>
        </w:rPr>
        <w:t xml:space="preserve">options from </w:t>
      </w:r>
      <w:r w:rsidR="002169E3">
        <w:rPr>
          <w:rFonts w:hint="eastAsia"/>
          <w:sz w:val="20"/>
        </w:rPr>
        <w:t>last meeting could be summarized</w:t>
      </w:r>
      <w:r w:rsidR="00961D39">
        <w:rPr>
          <w:rFonts w:hint="eastAsia"/>
          <w:sz w:val="20"/>
        </w:rPr>
        <w:t xml:space="preserve"> along with the LTE V2X counterpart as reference</w:t>
      </w:r>
    </w:p>
    <w:tbl>
      <w:tblPr>
        <w:tblStyle w:val="ad"/>
        <w:tblW w:w="0" w:type="auto"/>
        <w:tblLook w:val="04A0"/>
      </w:tblPr>
      <w:tblGrid>
        <w:gridCol w:w="2090"/>
        <w:gridCol w:w="1860"/>
        <w:gridCol w:w="1975"/>
        <w:gridCol w:w="1975"/>
        <w:gridCol w:w="1976"/>
      </w:tblGrid>
      <w:tr w:rsidR="007415D7">
        <w:trPr>
          <w:trHeight w:val="554"/>
        </w:trPr>
        <w:tc>
          <w:tcPr>
            <w:tcW w:w="2090" w:type="dxa"/>
          </w:tcPr>
          <w:p w:rsidR="007415D7" w:rsidRDefault="007415D7" w:rsidP="000233DB">
            <w:pPr>
              <w:snapToGrid w:val="0"/>
              <w:spacing w:beforeLines="100" w:after="120"/>
              <w:rPr>
                <w:sz w:val="20"/>
              </w:rPr>
            </w:pPr>
          </w:p>
          <w:p w:rsidR="007415D7" w:rsidRDefault="007415D7" w:rsidP="000233DB">
            <w:pPr>
              <w:spacing w:beforeLines="100" w:after="120"/>
              <w:rPr>
                <w:sz w:val="20"/>
              </w:rPr>
            </w:pPr>
          </w:p>
        </w:tc>
        <w:tc>
          <w:tcPr>
            <w:tcW w:w="1860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 xml:space="preserve">Case a) 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Case b)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Case c)</w:t>
            </w:r>
          </w:p>
        </w:tc>
        <w:tc>
          <w:tcPr>
            <w:tcW w:w="1976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Case d)</w:t>
            </w:r>
          </w:p>
        </w:tc>
      </w:tr>
      <w:tr w:rsidR="007415D7">
        <w:tc>
          <w:tcPr>
            <w:tcW w:w="2090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Option 1</w:t>
            </w:r>
            <w:r>
              <w:rPr>
                <w:sz w:val="20"/>
              </w:rPr>
              <w:t>’</w:t>
            </w:r>
          </w:p>
        </w:tc>
        <w:tc>
          <w:tcPr>
            <w:tcW w:w="1860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  <w:highlight w:val="yellow"/>
              </w:rPr>
              <w:t>L3</w:t>
            </w:r>
          </w:p>
        </w:tc>
        <w:tc>
          <w:tcPr>
            <w:tcW w:w="1976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  <w:highlight w:val="yellow"/>
              </w:rPr>
              <w:t>L3</w:t>
            </w:r>
          </w:p>
        </w:tc>
      </w:tr>
      <w:tr w:rsidR="007415D7">
        <w:tc>
          <w:tcPr>
            <w:tcW w:w="2090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Option 2 </w:t>
            </w:r>
          </w:p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(current specification)</w:t>
            </w:r>
          </w:p>
        </w:tc>
        <w:tc>
          <w:tcPr>
            <w:tcW w:w="1860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L2</w:t>
            </w:r>
          </w:p>
        </w:tc>
        <w:tc>
          <w:tcPr>
            <w:tcW w:w="1976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L1</w:t>
            </w:r>
          </w:p>
        </w:tc>
      </w:tr>
      <w:tr w:rsidR="007415D7">
        <w:tc>
          <w:tcPr>
            <w:tcW w:w="2090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Option 3</w:t>
            </w:r>
          </w:p>
        </w:tc>
        <w:tc>
          <w:tcPr>
            <w:tcW w:w="1860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highlight w:val="yellow"/>
              </w:rPr>
            </w:pPr>
            <w:r>
              <w:rPr>
                <w:rFonts w:hint="eastAsia"/>
                <w:sz w:val="20"/>
                <w:highlight w:val="yellow"/>
              </w:rPr>
              <w:t>L0</w:t>
            </w:r>
          </w:p>
        </w:tc>
        <w:tc>
          <w:tcPr>
            <w:tcW w:w="1976" w:type="dxa"/>
          </w:tcPr>
          <w:p w:rsidR="007415D7" w:rsidRDefault="002169E3" w:rsidP="000233DB">
            <w:pPr>
              <w:spacing w:beforeLines="100" w:after="120"/>
              <w:rPr>
                <w:sz w:val="20"/>
                <w:highlight w:val="yellow"/>
              </w:rPr>
            </w:pPr>
            <w:r>
              <w:rPr>
                <w:rFonts w:hint="eastAsia"/>
                <w:sz w:val="20"/>
                <w:highlight w:val="yellow"/>
              </w:rPr>
              <w:t>L0</w:t>
            </w:r>
          </w:p>
        </w:tc>
      </w:tr>
      <w:tr w:rsidR="007415D7">
        <w:tc>
          <w:tcPr>
            <w:tcW w:w="2090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Option 4</w:t>
            </w:r>
          </w:p>
        </w:tc>
        <w:tc>
          <w:tcPr>
            <w:tcW w:w="1860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L3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  <w:highlight w:val="yellow"/>
              </w:rPr>
              <w:t>L1</w:t>
            </w:r>
          </w:p>
        </w:tc>
        <w:tc>
          <w:tcPr>
            <w:tcW w:w="1976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L1</w:t>
            </w:r>
          </w:p>
        </w:tc>
      </w:tr>
      <w:tr w:rsidR="007415D7">
        <w:tc>
          <w:tcPr>
            <w:tcW w:w="2090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LTE V2X</w:t>
            </w:r>
          </w:p>
        </w:tc>
        <w:tc>
          <w:tcPr>
            <w:tcW w:w="1860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L2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  <w:shd w:val="clear" w:color="FFFFFF" w:fill="D9D9D9"/>
              </w:rPr>
            </w:pPr>
            <w:r>
              <w:rPr>
                <w:rFonts w:hint="eastAsia"/>
                <w:sz w:val="20"/>
                <w:shd w:val="clear" w:color="FFFFFF" w:fill="D9D9D9"/>
              </w:rPr>
              <w:t>L2</w:t>
            </w:r>
          </w:p>
        </w:tc>
        <w:tc>
          <w:tcPr>
            <w:tcW w:w="1975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L2</w:t>
            </w:r>
          </w:p>
        </w:tc>
        <w:tc>
          <w:tcPr>
            <w:tcW w:w="1976" w:type="dxa"/>
          </w:tcPr>
          <w:p w:rsidR="007415D7" w:rsidRDefault="002169E3" w:rsidP="000233DB">
            <w:pPr>
              <w:spacing w:beforeLines="10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L1</w:t>
            </w:r>
          </w:p>
        </w:tc>
      </w:tr>
    </w:tbl>
    <w:p w:rsidR="007415D7" w:rsidRDefault="002169E3" w:rsidP="00081451">
      <w:pPr>
        <w:pStyle w:val="YJ-Observation"/>
        <w:spacing w:before="120" w:after="120"/>
        <w:rPr>
          <w:lang w:val="en-US" w:eastAsia="zh-CN"/>
        </w:rPr>
      </w:pPr>
      <w:bookmarkStart w:id="5" w:name="_Toc61617999"/>
      <w:r>
        <w:rPr>
          <w:rFonts w:hint="eastAsia"/>
          <w:lang w:val="en-US" w:eastAsia="zh-CN"/>
        </w:rPr>
        <w:t>Option1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and Option 3 have larger impact than Option 2 and Option 4.(Both 8.1.4 and 8.1.7</w:t>
      </w:r>
      <w:r w:rsidR="008A2EFE">
        <w:rPr>
          <w:rFonts w:hint="eastAsia"/>
          <w:lang w:val="en-US" w:eastAsia="zh-CN"/>
        </w:rPr>
        <w:t xml:space="preserve"> in TS 38.214 </w:t>
      </w:r>
      <w:r>
        <w:rPr>
          <w:rFonts w:hint="eastAsia"/>
          <w:lang w:val="en-US" w:eastAsia="zh-CN"/>
        </w:rPr>
        <w:t>should be updated)</w:t>
      </w:r>
      <w:r w:rsidR="008A2EFE">
        <w:rPr>
          <w:rFonts w:hint="eastAsia"/>
          <w:lang w:val="en-US" w:eastAsia="zh-CN"/>
        </w:rPr>
        <w:t xml:space="preserve"> from both NR and LTE specification perspective</w:t>
      </w:r>
      <w:bookmarkEnd w:id="5"/>
    </w:p>
    <w:p w:rsidR="007415D7" w:rsidRDefault="008A2EFE">
      <w:pPr>
        <w:spacing w:before="120" w:after="120"/>
      </w:pPr>
      <w:r>
        <w:rPr>
          <w:rFonts w:hint="eastAsia"/>
          <w:sz w:val="20"/>
        </w:rPr>
        <w:t>Considering the tradeoff between</w:t>
      </w:r>
      <w:r w:rsidR="002169E3">
        <w:rPr>
          <w:rFonts w:hint="eastAsia"/>
          <w:sz w:val="20"/>
        </w:rPr>
        <w:t xml:space="preserve"> specification impact and </w:t>
      </w:r>
      <w:r>
        <w:rPr>
          <w:rFonts w:hint="eastAsia"/>
          <w:sz w:val="20"/>
        </w:rPr>
        <w:t xml:space="preserve">resolution of resource pool </w:t>
      </w:r>
      <w:r w:rsidR="002169E3">
        <w:rPr>
          <w:rFonts w:hint="eastAsia"/>
          <w:sz w:val="20"/>
        </w:rPr>
        <w:t>jitter</w:t>
      </w:r>
      <w:r>
        <w:rPr>
          <w:rFonts w:hint="eastAsia"/>
          <w:sz w:val="20"/>
        </w:rPr>
        <w:t>ing</w:t>
      </w:r>
      <w:r w:rsidR="002169E3">
        <w:rPr>
          <w:rFonts w:hint="eastAsia"/>
          <w:sz w:val="20"/>
        </w:rPr>
        <w:t xml:space="preserve"> issue, Option 4 can be a good compromise.</w:t>
      </w:r>
    </w:p>
    <w:p w:rsidR="007415D7" w:rsidRDefault="008A2EFE">
      <w:pPr>
        <w:pStyle w:val="YJ-Proposal"/>
        <w:spacing w:before="120" w:after="120"/>
        <w:rPr>
          <w:rFonts w:ascii="Calibri" w:hAnsi="Calibri" w:cs="Calibri"/>
        </w:rPr>
      </w:pPr>
      <w:bookmarkStart w:id="6" w:name="_Toc61618004"/>
      <w:bookmarkStart w:id="7" w:name="_Toc61881385"/>
      <w:r>
        <w:rPr>
          <w:rFonts w:hint="eastAsia"/>
        </w:rPr>
        <w:t>Considering the tradeoff between specification impact and resolution of resource pool jittering issue</w:t>
      </w:r>
      <w:r w:rsidR="002169E3">
        <w:rPr>
          <w:rFonts w:hint="eastAsia"/>
          <w:lang w:val="en-US" w:eastAsia="zh-CN"/>
        </w:rPr>
        <w:t>, option 4 should be adopted</w:t>
      </w:r>
      <w:r w:rsidR="002169E3">
        <w:rPr>
          <w:lang w:val="en-US" w:eastAsia="zh-CN"/>
        </w:rPr>
        <w:t>.</w:t>
      </w:r>
      <w:bookmarkEnd w:id="6"/>
      <w:bookmarkEnd w:id="7"/>
      <w:r w:rsidR="002169E3">
        <w:rPr>
          <w:lang w:val="en-US" w:eastAsia="zh-CN"/>
        </w:rPr>
        <w:t xml:space="preserve"> </w:t>
      </w:r>
      <w:r w:rsidR="002169E3">
        <w:t xml:space="preserve"> </w:t>
      </w:r>
    </w:p>
    <w:p w:rsidR="007415D7" w:rsidRDefault="002169E3">
      <w:pPr>
        <w:pStyle w:val="subullet"/>
        <w:spacing w:before="120" w:after="120"/>
        <w:rPr>
          <w:rFonts w:hint="default"/>
        </w:rPr>
      </w:pPr>
      <w:bookmarkStart w:id="8" w:name="_Toc61618000"/>
      <w:bookmarkStart w:id="9" w:name="_Toc61618005"/>
      <w:bookmarkStart w:id="10" w:name="_Toc61881386"/>
      <w:r>
        <w:rPr>
          <w:lang w:val="en-GB"/>
        </w:rPr>
        <w:t xml:space="preserve">If a UE transmits a SCI format 1-A in slot n in a resource pool, and if </w:t>
      </w:r>
      <w:r>
        <w:rPr>
          <w:lang w:val="en-GB"/>
        </w:rPr>
        <w:t>“</w:t>
      </w:r>
      <w:r>
        <w:rPr>
          <w:lang w:val="en-GB"/>
        </w:rPr>
        <w:t>Resource reservation period</w:t>
      </w:r>
      <w:r>
        <w:rPr>
          <w:lang w:val="en-GB"/>
        </w:rPr>
        <w:t>”</w:t>
      </w:r>
      <w:r>
        <w:rPr>
          <w:lang w:val="en-GB"/>
        </w:rPr>
        <w:t xml:space="preserve"> in the SCI format 1-A indicates P</w:t>
      </w:r>
      <w:r>
        <w:rPr>
          <w:lang w:val="en-GB"/>
        </w:rPr>
        <w:t>’</w:t>
      </w:r>
      <w:r>
        <w:rPr>
          <w:lang w:val="en-GB"/>
        </w:rPr>
        <w:t xml:space="preserve"> (following 8.1.7 of 38.214), P</w:t>
      </w:r>
      <w:r>
        <w:rPr>
          <w:lang w:val="en-GB"/>
        </w:rPr>
        <w:t>’</w:t>
      </w:r>
      <w:r>
        <w:rPr>
          <w:lang w:val="en-GB"/>
        </w:rPr>
        <w:t xml:space="preserve"> is counted in </w:t>
      </w:r>
      <m:oMath>
        <m:r>
          <m:rPr>
            <m:sty m:val="bi"/>
          </m:rPr>
          <w:rPr>
            <w:rFonts w:ascii="Cambria Math" w:hAnsi="Cambria Math"/>
          </w:rPr>
          <m:t>t</m:t>
        </m:r>
      </m:oMath>
      <w:r>
        <w:t xml:space="preserve">he slots </w:t>
      </w:r>
      <w:r>
        <w:rPr>
          <w:lang w:val="en-GB"/>
        </w:rPr>
        <w:t xml:space="preserve">that can be used for SL transmission </w:t>
      </w:r>
      <w:r>
        <w:t>(i.e. the gap between the slots indicated in SCI within two periods is P).</w:t>
      </w:r>
      <w:bookmarkEnd w:id="8"/>
      <w:bookmarkEnd w:id="9"/>
      <w:bookmarkEnd w:id="10"/>
    </w:p>
    <w:p w:rsidR="007415D7" w:rsidRDefault="002169E3">
      <w:pPr>
        <w:pStyle w:val="YJ-Proposal"/>
        <w:spacing w:before="120" w:after="120"/>
      </w:pPr>
      <w:bookmarkStart w:id="11" w:name="_Toc61618006"/>
      <w:bookmarkStart w:id="12" w:name="_Toc61881387"/>
      <w:r>
        <w:rPr>
          <w:rFonts w:hint="eastAsia"/>
          <w:lang w:val="en-US" w:eastAsia="zh-CN"/>
        </w:rPr>
        <w:t>According to proposal</w:t>
      </w:r>
      <w:r w:rsidR="009F032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1, adopt the following TP for TS 38.214 section 8.1.4.</w:t>
      </w:r>
      <w:bookmarkEnd w:id="11"/>
      <w:bookmarkEnd w:id="12"/>
      <w:r>
        <w:t xml:space="preserve"> </w:t>
      </w:r>
    </w:p>
    <w:tbl>
      <w:tblPr>
        <w:tblStyle w:val="ad"/>
        <w:tblW w:w="0" w:type="auto"/>
        <w:tblLook w:val="04A0"/>
      </w:tblPr>
      <w:tblGrid>
        <w:gridCol w:w="9876"/>
      </w:tblGrid>
      <w:tr w:rsidR="001D11D2" w:rsidTr="001D11D2">
        <w:tc>
          <w:tcPr>
            <w:tcW w:w="9876" w:type="dxa"/>
          </w:tcPr>
          <w:p w:rsidR="001D11D2" w:rsidRDefault="001D11D2" w:rsidP="001D11D2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rFonts w:eastAsia="宋体" w:hint="eastAsia"/>
              </w:rPr>
              <w:lastRenderedPageBreak/>
              <w:t>8.1.4</w:t>
            </w:r>
            <w:r>
              <w:rPr>
                <w:rFonts w:hint="eastAsia"/>
              </w:rPr>
              <w:tab/>
            </w:r>
            <w:r>
              <w:rPr>
                <w:color w:val="000000"/>
              </w:rPr>
              <w:t>UE procedure for determining the subset of resources to be reported to higher layers in PSSCH resource selection in sidelink resource allocation mode 2</w:t>
            </w:r>
          </w:p>
          <w:p w:rsidR="001D11D2" w:rsidRDefault="001D11D2" w:rsidP="001D11D2">
            <w:pPr>
              <w:autoSpaceDE/>
              <w:autoSpaceDN/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kern w:val="0"/>
                <w:sz w:val="28"/>
                <w:szCs w:val="28"/>
                <w:lang w:val="en-GB"/>
              </w:rPr>
              <w:t>&lt; Unchanged parts are omitted &gt;</w:t>
            </w:r>
          </w:p>
          <w:p w:rsidR="001D11D2" w:rsidRDefault="001D11D2" w:rsidP="001D11D2">
            <w:pPr>
              <w:spacing w:before="120" w:after="120"/>
            </w:pPr>
            <w:r>
              <w:rPr>
                <w:rFonts w:eastAsia="Calibri"/>
              </w:rPr>
              <w:t xml:space="preserve">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</w:rPr>
                    <m:t>rsvp_TX</m:t>
                  </m:r>
                  <m:ctrlPr>
                    <w:rPr>
                      <w:rFonts w:ascii="Cambria Math" w:eastAsia="Calibri" w:hAnsi="Cambria Math"/>
                    </w:rPr>
                  </m:ctrlPr>
                </m:sub>
              </m:sSub>
            </m:oMath>
            <w:r>
              <w:rPr>
                <w:rFonts w:eastAsia="Calibri"/>
              </w:rPr>
              <w:t>, if provided, is converted from units of msec to units of logical slots,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>where</w:t>
            </w:r>
            <w:r>
              <w:rPr>
                <w:rFonts w:eastAsia="Calibri"/>
                <w:color w:val="FF0000"/>
                <w:u w:val="single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HAnsi" w:hAnsiTheme="minorHAnsi" w:cstheme="minorBidi"/>
                      <w:i/>
                      <w:color w:val="FF0000"/>
                      <w:u w:val="singl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  <w:u w:val="single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p,SL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  <w:u w:val="singl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  <w:u w:val="single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p,SL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  <w:u w:val="singl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  <w:u w:val="single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p,SL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  <w:u w:val="single"/>
                    </w:rPr>
                    <m:t>,...</m:t>
                  </m:r>
                </m:e>
              </m:d>
            </m:oMath>
            <w:r>
              <w:rPr>
                <w:rFonts w:ascii="Cambria Math" w:hAnsiTheme="minorHAnsi" w:cstheme="minorBidi" w:hint="eastAsia"/>
                <w:color w:val="FF0000"/>
                <w:u w:val="single"/>
              </w:rPr>
              <w:t xml:space="preserve"> denotes the set of logical slots for this conversion</w:t>
            </w:r>
            <w:r>
              <w:rPr>
                <w:rFonts w:hint="eastAsia"/>
                <w:color w:val="FF0000"/>
                <w:u w:val="single"/>
              </w:rPr>
              <w:t>,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Calibri"/>
              </w:rPr>
              <w:t xml:space="preserve">resulting in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</w:rPr>
                    <m:t>rsvp_TX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'</m:t>
                  </m:r>
                </m:sup>
              </m:sSubSup>
            </m:oMath>
            <w:r>
              <w:rPr>
                <w:rFonts w:eastAsia="Calibri"/>
              </w:rPr>
              <w:t xml:space="preserve"> according to clause 8.1.7.</w:t>
            </w:r>
            <w:r>
              <w:rPr>
                <w:rFonts w:hint="eastAsia"/>
              </w:rPr>
              <w:t xml:space="preserve"> </w:t>
            </w:r>
          </w:p>
          <w:p w:rsidR="001D11D2" w:rsidRDefault="001D11D2" w:rsidP="001D11D2">
            <w:pPr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Notation:</w:t>
            </w:r>
          </w:p>
          <w:p w:rsidR="001D11D2" w:rsidRDefault="008D6B59" w:rsidP="001D11D2">
            <w:pPr>
              <w:spacing w:before="120" w:after="120"/>
              <w:rPr>
                <w:rFonts w:eastAsia="Malgun Gothic"/>
                <w:lang w:eastAsia="ko-KR"/>
              </w:rPr>
            </w:pPr>
            <m:oMath>
              <m:d>
                <m:dPr>
                  <m:ctrlPr>
                    <w:rPr>
                      <w:rFonts w:ascii="Cambria Math" w:eastAsiaTheme="minorHAnsi" w:hAnsiTheme="minorHAnsi" w:cstheme="minorBidi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</w:rPr>
                    <m:t>,...</m:t>
                  </m:r>
                </m:e>
              </m:d>
            </m:oMath>
            <w:r w:rsidR="001D11D2">
              <w:rPr>
                <w:rFonts w:asciiTheme="minorHAnsi" w:eastAsia="Malgun Gothic" w:hAnsiTheme="minorHAnsi" w:cstheme="minorBidi" w:hint="eastAsia"/>
                <w:lang w:eastAsia="ko-KR"/>
              </w:rPr>
              <w:t xml:space="preserve"> </w:t>
            </w:r>
            <w:r w:rsidR="001D11D2">
              <w:rPr>
                <w:rFonts w:eastAsia="Malgun Gothic"/>
                <w:lang w:eastAsia="ko-KR"/>
              </w:rPr>
              <w:t xml:space="preserve">denotes the set of slots which can belong to a sidelink resource pool and is defined in Clause 8. </w:t>
            </w:r>
          </w:p>
          <w:p w:rsidR="001D11D2" w:rsidRDefault="008D6B59" w:rsidP="001D11D2">
            <w:pPr>
              <w:spacing w:before="120" w:after="120"/>
              <w:rPr>
                <w:rFonts w:eastAsia="Malgun Gothic"/>
                <w:lang w:eastAsia="ko-KR"/>
              </w:rPr>
            </w:pPr>
            <m:oMath>
              <m:d>
                <m:dPr>
                  <m:ctrlPr>
                    <w:rPr>
                      <w:rFonts w:ascii="Cambria Math" w:eastAsia="Malgun Gothic" w:hAnsi="Cambria Math"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,…</m:t>
                  </m:r>
                </m:e>
              </m:d>
            </m:oMath>
            <w:r w:rsidR="001D11D2">
              <w:rPr>
                <w:rFonts w:asciiTheme="minorHAnsi" w:eastAsia="Malgun Gothic" w:hAnsiTheme="minorHAnsi" w:cstheme="minorBidi" w:hint="eastAsia"/>
                <w:lang w:eastAsia="ko-KR"/>
              </w:rPr>
              <w:t xml:space="preserve"> </w:t>
            </w:r>
            <w:r w:rsidR="001D11D2">
              <w:rPr>
                <w:rFonts w:eastAsia="Malgun Gothic"/>
                <w:lang w:eastAsia="ko-KR"/>
              </w:rPr>
              <w:t>denotes the set of slots which belongs to the sidelink resource pool and is defined in Clause 8.</w:t>
            </w:r>
          </w:p>
          <w:p w:rsidR="001D11D2" w:rsidRDefault="001D11D2" w:rsidP="001D11D2">
            <w:pPr>
              <w:autoSpaceDE/>
              <w:autoSpaceDN/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kern w:val="0"/>
                <w:sz w:val="28"/>
                <w:szCs w:val="28"/>
                <w:lang w:val="en-GB"/>
              </w:rPr>
              <w:t>&lt; Unchanged parts are omitted &gt;</w:t>
            </w:r>
          </w:p>
          <w:p w:rsidR="001D11D2" w:rsidRDefault="001D11D2" w:rsidP="001D11D2">
            <w:pPr>
              <w:pStyle w:val="B1"/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6)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:rsidR="001D11D2" w:rsidRDefault="001D11D2" w:rsidP="001D11D2">
            <w:pPr>
              <w:pStyle w:val="B2"/>
              <w:spacing w:before="120" w:after="12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a)</w:t>
            </w:r>
            <w:r>
              <w:rPr>
                <w:rFonts w:eastAsia="Malgun Gothic"/>
                <w:lang w:val="en-US" w:eastAsia="ko-KR"/>
              </w:rPr>
              <w:tab/>
            </w:r>
            <w:r>
              <w:rPr>
                <w:rFonts w:eastAsia="Malgun Gothic" w:hint="eastAsia"/>
                <w:lang w:val="en-US" w:eastAsia="ko-KR"/>
              </w:rPr>
              <w:t xml:space="preserve">the UE receives an SCI format </w:t>
            </w:r>
            <w:r>
              <w:rPr>
                <w:rFonts w:eastAsia="Malgun Gothic"/>
                <w:lang w:val="en-US" w:eastAsia="ko-KR"/>
              </w:rPr>
              <w:t>1-A</w:t>
            </w:r>
            <w:r>
              <w:rPr>
                <w:rFonts w:eastAsia="Malgun Gothic" w:hint="eastAsia"/>
                <w:lang w:val="en-US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trike/>
                      <w:color w:val="FF0000"/>
                    </w:rPr>
                    <m:t>t</m:t>
                  </m:r>
                  <m:r>
                    <w:rPr>
                      <w:rFonts w:ascii="Cambria Math" w:eastAsia="Malgun Gothic" w:hAnsi="Cambria Math"/>
                      <w:strike/>
                      <w:color w:val="FF0000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  <w:strike/>
                      <w:color w:val="FF0000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strike/>
                      <w:color w:val="FF0000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strike/>
                <w:color w:val="FF0000"/>
                <w:lang w:val="en-US" w:eastAsia="ko-KR"/>
              </w:rPr>
              <w:t>,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p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val="en-US"/>
                    </w:rPr>
                    <m:t>,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color w:val="FF0000"/>
                <w:u w:val="single"/>
                <w:lang w:val="en-US" w:eastAsia="ko-KR"/>
              </w:rPr>
              <w:t>,</w:t>
            </w:r>
            <w:r>
              <w:rPr>
                <w:rFonts w:eastAsia="Malgun Gothic" w:hint="eastAsia"/>
                <w:lang w:val="en-US" w:eastAsia="ko-KR"/>
              </w:rPr>
              <w:t xml:space="preserve">and </w:t>
            </w:r>
            <w:r>
              <w:rPr>
                <w:rFonts w:eastAsia="Malgun Gothic"/>
                <w:lang w:val="en-US" w:eastAsia="ko-KR"/>
              </w:rPr>
              <w:t>'</w:t>
            </w:r>
            <w:r>
              <w:rPr>
                <w:rFonts w:eastAsia="Malgun Gothic"/>
                <w:i/>
                <w:iCs/>
                <w:lang w:val="en-US" w:eastAsia="ko-KR"/>
              </w:rPr>
              <w:t>Resource reservation period'</w:t>
            </w:r>
            <w:r>
              <w:rPr>
                <w:rFonts w:eastAsia="Malgun Gothic"/>
                <w:lang w:val="en-US" w:eastAsia="ko-KR"/>
              </w:rPr>
              <w:t xml:space="preserve"> field, if present,</w:t>
            </w:r>
            <w:r>
              <w:rPr>
                <w:rFonts w:eastAsia="Malgun Gothic" w:hint="eastAsia"/>
                <w:lang w:val="en-US" w:eastAsia="ko-KR"/>
              </w:rPr>
              <w:t xml:space="preserve"> and </w:t>
            </w:r>
            <w:r>
              <w:rPr>
                <w:rFonts w:eastAsia="Malgun Gothic"/>
                <w:lang w:val="en-US" w:eastAsia="ko-KR"/>
              </w:rPr>
              <w:t>'</w:t>
            </w:r>
            <w:r>
              <w:rPr>
                <w:rFonts w:eastAsia="Malgun Gothic" w:hint="eastAsia"/>
                <w:i/>
                <w:iCs/>
                <w:lang w:val="en-US" w:eastAsia="ko-KR"/>
              </w:rPr>
              <w:t>Priority</w:t>
            </w:r>
            <w:r>
              <w:rPr>
                <w:rFonts w:eastAsia="Malgun Gothic"/>
                <w:lang w:val="en-US" w:eastAsia="ko-KR"/>
              </w:rPr>
              <w:t>'</w:t>
            </w:r>
            <w:r>
              <w:rPr>
                <w:rFonts w:eastAsia="Malgun Gothic" w:hint="eastAsia"/>
                <w:lang w:val="en-US" w:eastAsia="ko-KR"/>
              </w:rPr>
              <w:t xml:space="preserve"> field</w:t>
            </w:r>
            <w:r>
              <w:rPr>
                <w:rFonts w:eastAsia="Malgun Gothic"/>
                <w:lang w:val="en-US" w:eastAsia="ko-KR"/>
              </w:rPr>
              <w:t xml:space="preserve"> in the </w:t>
            </w:r>
            <w:r>
              <w:rPr>
                <w:rFonts w:eastAsia="Malgun Gothic" w:hint="eastAsia"/>
                <w:lang w:val="en-US" w:eastAsia="ko-KR"/>
              </w:rPr>
              <w:t xml:space="preserve">received </w:t>
            </w:r>
            <w:r>
              <w:rPr>
                <w:rFonts w:eastAsia="Malgun Gothic"/>
                <w:lang w:val="en-US" w:eastAsia="ko-KR"/>
              </w:rPr>
              <w:t xml:space="preserve">SCI format 1-A </w:t>
            </w:r>
            <w:r>
              <w:rPr>
                <w:rFonts w:eastAsia="Malgun Gothic" w:hint="eastAsia"/>
                <w:lang w:val="en-US"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, respectively according to Clause </w:t>
            </w:r>
            <w:r>
              <w:rPr>
                <w:rFonts w:eastAsia="Malgun Gothic"/>
                <w:lang w:val="en-US" w:eastAsia="ko-KR"/>
              </w:rPr>
              <w:t>16.4 in [6, TS 38.213];</w:t>
            </w:r>
          </w:p>
          <w:p w:rsidR="001D11D2" w:rsidRDefault="001D11D2" w:rsidP="001D11D2">
            <w:pPr>
              <w:pStyle w:val="B2"/>
              <w:spacing w:before="120" w:after="120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 w:eastAsia="ko-KR"/>
              </w:rPr>
              <w:t>b)</w:t>
            </w:r>
            <w:r>
              <w:rPr>
                <w:rFonts w:eastAsia="Malgun Gothic"/>
                <w:lang w:val="en-US" w:eastAsia="ko-KR"/>
              </w:rPr>
              <w:tab/>
              <w:t xml:space="preserve">the RSRP measurement performed, according to clause 8.4.2.1 for the received SCI format 1-A, </w:t>
            </w:r>
            <w:r>
              <w:rPr>
                <w:rFonts w:eastAsia="Malgun Gothic" w:hint="eastAsia"/>
                <w:lang w:val="en-US" w:eastAsia="ko-KR"/>
              </w:rPr>
              <w:t xml:space="preserve">is 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val="en-US"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  <m:r>
                <w:rPr>
                  <w:rFonts w:ascii="Cambria Math"/>
                  <w:lang w:val="en-US" w:eastAsia="en-GB"/>
                </w:rPr>
                <m:t>;</m:t>
              </m:r>
            </m:oMath>
          </w:p>
          <w:p w:rsidR="001D11D2" w:rsidRPr="001D11D2" w:rsidRDefault="001D11D2" w:rsidP="001D11D2">
            <w:pPr>
              <w:pStyle w:val="B2"/>
              <w:spacing w:before="120" w:after="120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c)</w:t>
            </w:r>
            <w:r>
              <w:rPr>
                <w:rFonts w:eastAsia="Malgun Gothic"/>
                <w:lang w:val="en-US" w:eastAsia="ko-KR"/>
              </w:rPr>
              <w:t xml:space="preserve"> 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Theme="minorEastAsia" w:hint="eastAsia"/>
                <w:color w:val="FF0000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p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val="en-US"/>
                    </w:rPr>
                    <m:t>,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color w:val="FF0000"/>
                <w:u w:val="single"/>
                <w:lang w:val="en-US" w:eastAsia="ko-KR"/>
              </w:rPr>
              <w:t>,</w:t>
            </w:r>
            <w:r>
              <w:rPr>
                <w:rFonts w:eastAsia="Malgun Gothic"/>
                <w:lang w:val="en-US" w:eastAsia="ko-KR"/>
              </w:rPr>
              <w:t xml:space="preserve">or </w:t>
            </w:r>
            <w:r>
              <w:rPr>
                <w:rFonts w:eastAsia="Malgun Gothic" w:hint="eastAsia"/>
                <w:lang w:val="en-US" w:eastAsia="ko-KR"/>
              </w:rPr>
              <w:t>the same SCI format which</w:t>
            </w:r>
            <w:r>
              <w:rPr>
                <w:rFonts w:eastAsia="Malgun Gothic"/>
                <w:lang w:val="en-US" w:eastAsia="ko-KR"/>
              </w:rPr>
              <w:t>, if and only if the '</w:t>
            </w:r>
            <w:r>
              <w:rPr>
                <w:rFonts w:eastAsia="Malgun Gothic"/>
                <w:i/>
                <w:iCs/>
                <w:lang w:val="en-US" w:eastAsia="ko-KR"/>
              </w:rPr>
              <w:t>Resource reservation period</w:t>
            </w:r>
            <w:r>
              <w:rPr>
                <w:rFonts w:eastAsia="Malgun Gothic"/>
                <w:lang w:val="en-US" w:eastAsia="ko-KR"/>
              </w:rPr>
              <w:t xml:space="preserve">' field is present in the received SCI format 1-A, </w:t>
            </w:r>
            <w:r>
              <w:rPr>
                <w:rFonts w:eastAsia="Malgun Gothic" w:hint="eastAsia"/>
                <w:lang w:val="en-US" w:eastAsia="ko-KR"/>
              </w:rPr>
              <w:t xml:space="preserve"> is assumed to be received in slot</w:t>
            </w:r>
            <w:r>
              <w:rPr>
                <w:rFonts w:eastAsia="Malgun Gothic"/>
                <w:lang w:val="en-US" w:eastAsia="ko-KR"/>
              </w:rPr>
              <w:t>(s)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</m:t>
                  </m:r>
                  <m:r>
                    <w:rPr>
                      <w:rFonts w:ascii="Cambria Math" w:hAnsi="Cambria Math"/>
                      <w:color w:val="FF0000"/>
                      <w:lang w:val="en-US" w:eastAsia="en-GB"/>
                    </w:rPr>
                    <m:t>+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</m:t>
                      </m:r>
                      <m:r>
                        <w:rPr>
                          <w:rFonts w:ascii="Cambria Math" w:hAnsi="Cambria Math"/>
                          <w:color w:val="FF0000"/>
                          <w:lang w:val="en-US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</m:t>
                  </m:r>
                  <m:r>
                    <w:rPr>
                      <w:rFonts w:ascii="Cambria Math" w:hAnsi="Cambria Math"/>
                      <w:color w:val="FF0000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lang w:val="en-US" w:eastAsia="ko-KR"/>
              </w:rPr>
              <w:t xml:space="preserve"> determine</w:t>
            </w:r>
            <w:r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 w:hint="eastAsia"/>
                <w:lang w:val="en-US" w:eastAsia="ko-KR"/>
              </w:rPr>
              <w:t xml:space="preserve"> according to </w:t>
            </w:r>
            <w:r>
              <w:rPr>
                <w:rFonts w:eastAsia="Malgun Gothic"/>
                <w:lang w:val="en-US" w:eastAsia="ko-KR"/>
              </w:rPr>
              <w:t>clause 8.1.5 the set of resource blocks and slots which</w:t>
            </w:r>
            <w:r>
              <w:rPr>
                <w:rFonts w:eastAsia="Malgun Gothic" w:hint="eastAsia"/>
                <w:lang w:val="en-US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j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w:rPr>
                          <w:rFonts w:ascii="Cambria Math" w:hAnsi="Cambria Math"/>
                          <w:lang w:val="en-US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bSup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 for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i/>
                <w:lang w:val="en-US" w:eastAsia="ko-KR"/>
              </w:rPr>
              <w:t>q</w:t>
            </w:r>
            <w:r>
              <w:rPr>
                <w:rFonts w:eastAsia="Malgun Gothic" w:hint="eastAsia"/>
                <w:lang w:val="en-US" w:eastAsia="ko-KR"/>
              </w:rPr>
              <w:t xml:space="preserve">=1, 2, </w:t>
            </w:r>
            <w:r>
              <w:rPr>
                <w:rFonts w:eastAsia="Malgun Gothic"/>
                <w:lang w:val="en-US" w:eastAsia="ko-KR"/>
              </w:rPr>
              <w:t>…</w:t>
            </w:r>
            <w:r>
              <w:rPr>
                <w:rFonts w:eastAsia="Malgun Gothic" w:hint="eastAsia"/>
                <w:lang w:val="en-US" w:eastAsia="ko-KR"/>
              </w:rPr>
              <w:t xml:space="preserve">, </w:t>
            </w:r>
            <w:r>
              <w:rPr>
                <w:rFonts w:eastAsia="Malgun Gothic" w:hint="eastAsia"/>
                <w:i/>
                <w:lang w:val="en-US" w:eastAsia="ko-KR"/>
              </w:rPr>
              <w:t>Q</w:t>
            </w:r>
            <w:r>
              <w:rPr>
                <w:rFonts w:eastAsia="Malgun Gothic" w:hint="eastAsia"/>
                <w:lang w:val="en-US" w:eastAsia="ko-KR"/>
              </w:rPr>
              <w:t xml:space="preserve"> and </w:t>
            </w:r>
            <w:r>
              <w:rPr>
                <w:rFonts w:eastAsia="Malgun Gothic" w:hint="eastAsia"/>
                <w:i/>
                <w:lang w:val="en-US" w:eastAsia="ko-KR"/>
              </w:rPr>
              <w:t>j=</w:t>
            </w:r>
            <w:r>
              <w:rPr>
                <w:rFonts w:eastAsia="Malgun Gothic" w:hint="eastAsia"/>
                <w:lang w:val="en-US" w:eastAsia="ko-KR"/>
              </w:rPr>
              <w:t xml:space="preserve">0, 1, </w:t>
            </w:r>
            <w:r>
              <w:rPr>
                <w:rFonts w:eastAsia="Malgun Gothic"/>
                <w:lang w:val="en-US" w:eastAsia="ko-KR"/>
              </w:rPr>
              <w:t>…</w:t>
            </w:r>
            <w:r>
              <w:rPr>
                <w:rFonts w:eastAsia="Malgun Gothic" w:hint="eastAsia"/>
                <w:lang w:val="en-US"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-1</m:t>
              </m:r>
            </m:oMath>
            <w:r>
              <w:rPr>
                <w:rFonts w:eastAsia="Malgun Gothic" w:hint="eastAsia"/>
                <w:lang w:val="en-US" w:eastAsia="ko-KR"/>
              </w:rPr>
              <w:t>. H</w:t>
            </w:r>
            <w:r>
              <w:rPr>
                <w:rFonts w:eastAsia="Malgun Gothic"/>
                <w:lang w:val="en-US" w:eastAsia="ko-KR"/>
              </w:rPr>
              <w:t>e</w:t>
            </w:r>
            <w:r>
              <w:rPr>
                <w:rFonts w:eastAsia="Malgun Gothic" w:hint="eastAsia"/>
                <w:lang w:val="en-US" w:eastAsia="ko-KR"/>
              </w:rPr>
              <w:t>re,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bSup>
            </m:oMath>
            <w:r>
              <w:rPr>
                <w:rFonts w:eastAsia="Malgun Gothic"/>
                <w:lang w:val="en-US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/>
                <w:lang w:val="en-US" w:eastAsia="en-GB"/>
              </w:rPr>
              <w:t xml:space="preserve"> converted to units of logical slots according to clause 8.1.7,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</m:t>
              </m:r>
              <m:r>
                <w:rPr>
                  <w:rFonts w:ascii="Cambria Math" w:hAnsi="Cambria Math"/>
                  <w:lang w:val="en-US" w:eastAsia="en-GB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w:rPr>
                              <w:rFonts w:ascii="Cambria Math" w:hAnsi="Cambria Math"/>
                              <w:lang w:val="en-US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 w:eastAsia="en-GB"/>
                </w:rPr>
                <m:t xml:space="preserve"> </m:t>
              </m:r>
            </m:oMath>
            <w:r>
              <w:rPr>
                <w:rFonts w:eastAsia="Malgun Gothic"/>
                <w:lang w:val="en-US" w:eastAsia="en-GB"/>
              </w:rPr>
              <w:t xml:space="preserve"> </w:t>
            </w:r>
            <w:r>
              <w:rPr>
                <w:rFonts w:eastAsia="Malgun Gothic" w:hint="eastAsia"/>
                <w:lang w:val="en-US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US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 and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US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val="en-US" w:eastAsia="en-GB"/>
                </w:rPr>
                <m:t>-</m:t>
              </m:r>
              <m:r>
                <w:rPr>
                  <w:rFonts w:ascii="Cambria Math" w:hAnsi="Cambria Math"/>
                  <w:lang w:eastAsia="en-GB"/>
                </w:rPr>
                <m:t>m</m:t>
              </m:r>
              <m:r>
                <w:rPr>
                  <w:rFonts w:ascii="Cambria Math" w:hAnsi="Cambria Math"/>
                  <w:lang w:val="en-US" w:eastAsia="en-GB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bSup>
            </m:oMath>
            <w:r>
              <w:rPr>
                <w:rFonts w:eastAsia="Malgun Gothic" w:hint="eastAsia"/>
                <w:lang w:val="en-US" w:eastAsia="ko-KR"/>
              </w:rPr>
              <w:t xml:space="preserve">, </w:t>
            </w:r>
            <w:bookmarkStart w:id="13" w:name="OLE_LINK8"/>
            <w:bookmarkStart w:id="14" w:name="OLE_LINK9"/>
            <w:r>
              <w:rPr>
                <w:rFonts w:hint="eastAsia"/>
                <w:lang w:val="en-US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US" w:eastAsia="en-GB"/>
                </w:rPr>
                <m:t xml:space="preserve"> = </m:t>
              </m:r>
              <m:r>
                <w:rPr>
                  <w:rFonts w:ascii="Cambria Math" w:hAnsi="Cambria Math"/>
                  <w:lang w:eastAsia="en-GB"/>
                </w:rPr>
                <m:t>n</m:t>
              </m:r>
            </m:oMath>
            <w:r>
              <w:rPr>
                <w:rFonts w:hint="eastAsia"/>
                <w:lang w:val="en-US"/>
              </w:rPr>
              <w:t xml:space="preserve"> if slot </w:t>
            </w:r>
            <w:r>
              <w:rPr>
                <w:i/>
                <w:iCs/>
                <w:color w:val="000000"/>
                <w:lang w:val="en-US"/>
              </w:rPr>
              <w:t>n</w:t>
            </w:r>
            <w:r>
              <w:rPr>
                <w:rFonts w:hint="eastAsia"/>
                <w:lang w:val="en-US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>
              <w:rPr>
                <w:rFonts w:hint="eastAsia"/>
                <w:lang w:val="en-US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lang w:val="en-US" w:eastAsia="en-GB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is the first slot after slot </w:t>
            </w:r>
            <w:r>
              <w:rPr>
                <w:i/>
                <w:iCs/>
                <w:color w:val="000000"/>
                <w:lang w:val="en-US"/>
              </w:rPr>
              <w:t>n</w:t>
            </w:r>
            <w:r>
              <w:rPr>
                <w:rFonts w:hint="eastAsia"/>
                <w:lang w:val="en-US"/>
              </w:rPr>
              <w:t xml:space="preserve"> belonging to the set </w:t>
            </w:r>
            <m:oMath>
              <w:bookmarkEnd w:id="13"/>
              <w:bookmarkEnd w:id="14"/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>
              <w:rPr>
                <w:rFonts w:hint="eastAsia"/>
                <w:lang w:val="en-US"/>
              </w:rPr>
              <w:t>;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en-US" w:eastAsia="ko-KR"/>
              </w:rPr>
              <w:t>otherwise</w:t>
            </w:r>
            <w:r>
              <w:rPr>
                <w:lang w:val="en-US"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</m:t>
              </m:r>
              <m:r>
                <w:rPr>
                  <w:rFonts w:ascii="Cambria Math"/>
                  <w:lang w:val="en-US" w:eastAsia="en-GB"/>
                </w:rPr>
                <m:t>=1</m:t>
              </m:r>
            </m:oMath>
            <w:r>
              <w:rPr>
                <w:lang w:val="en-US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>
              <w:rPr>
                <w:lang w:val="en-US" w:eastAsia="en-GB"/>
              </w:rPr>
              <w:t xml:space="preserve"> is set to selection window size </w:t>
            </w:r>
            <w:r>
              <w:rPr>
                <w:i/>
                <w:lang w:val="en-US" w:eastAsia="en-GB"/>
              </w:rPr>
              <w:t>T</w:t>
            </w:r>
            <w:r>
              <w:rPr>
                <w:i/>
                <w:vertAlign w:val="subscript"/>
                <w:lang w:val="en-US" w:eastAsia="en-GB"/>
              </w:rPr>
              <w:t>2</w:t>
            </w:r>
            <w:r>
              <w:rPr>
                <w:lang w:val="en-US" w:eastAsia="en-GB"/>
              </w:rPr>
              <w:t xml:space="preserve"> converted to units of </w:t>
            </w:r>
            <w:r>
              <w:rPr>
                <w:iCs/>
                <w:lang w:val="en-GB" w:eastAsia="en-GB"/>
              </w:rPr>
              <w:t>msec</w:t>
            </w:r>
            <w:r>
              <w:rPr>
                <w:lang w:val="en-US" w:eastAsia="en-GB"/>
              </w:rPr>
              <w:t>.</w:t>
            </w:r>
          </w:p>
        </w:tc>
      </w:tr>
    </w:tbl>
    <w:p w:rsidR="007415D7" w:rsidRDefault="007415D7" w:rsidP="000233DB">
      <w:pPr>
        <w:spacing w:beforeLines="100" w:after="120"/>
        <w:rPr>
          <w:sz w:val="20"/>
        </w:rPr>
      </w:pPr>
    </w:p>
    <w:p w:rsidR="007415D7" w:rsidRDefault="007415D7">
      <w:pPr>
        <w:pStyle w:val="YJ-Proposal"/>
        <w:numPr>
          <w:ilvl w:val="0"/>
          <w:numId w:val="0"/>
        </w:numPr>
        <w:spacing w:before="120" w:after="120"/>
      </w:pPr>
    </w:p>
    <w:p w:rsidR="007415D7" w:rsidRDefault="007415D7" w:rsidP="000233DB">
      <w:pPr>
        <w:spacing w:beforeLines="100" w:after="120"/>
        <w:rPr>
          <w:iCs/>
          <w:sz w:val="20"/>
        </w:rPr>
      </w:pPr>
    </w:p>
    <w:p w:rsidR="007415D7" w:rsidRDefault="002169E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Conclusion</w:t>
      </w:r>
    </w:p>
    <w:p w:rsidR="007415D7" w:rsidRDefault="002169E3">
      <w:pPr>
        <w:pStyle w:val="10"/>
        <w:tabs>
          <w:tab w:val="right" w:pos="9660"/>
        </w:tabs>
        <w:snapToGrid w:val="0"/>
        <w:spacing w:before="120" w:after="120"/>
        <w:rPr>
          <w:rFonts w:cs="Arial"/>
          <w:b w:val="0"/>
          <w:bCs/>
          <w:i w:val="0"/>
          <w:iCs/>
        </w:rPr>
      </w:pPr>
      <w:r>
        <w:rPr>
          <w:rFonts w:cs="Arial"/>
          <w:b w:val="0"/>
          <w:bCs/>
          <w:i w:val="0"/>
          <w:iCs/>
        </w:rPr>
        <w:t>T</w:t>
      </w:r>
      <w:r>
        <w:rPr>
          <w:rFonts w:cs="Arial" w:hint="eastAsia"/>
          <w:b w:val="0"/>
          <w:bCs/>
          <w:i w:val="0"/>
          <w:iCs/>
        </w:rPr>
        <w:t>his paper concludes with the following observations and proposals.</w:t>
      </w:r>
    </w:p>
    <w:p w:rsidR="009F032A" w:rsidRDefault="008D6B59" w:rsidP="00081451">
      <w:pPr>
        <w:pStyle w:val="10"/>
        <w:tabs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8D6B59">
        <w:fldChar w:fldCharType="begin"/>
      </w:r>
      <w:r w:rsidR="002169E3">
        <w:instrText xml:space="preserve"> TOC \n  \t "YJ-Observation,1,subullet,2,subsub,3" \* MERGEFORMAT </w:instrText>
      </w:r>
      <w:r w:rsidRPr="008D6B59">
        <w:fldChar w:fldCharType="separate"/>
      </w:r>
      <w:r w:rsidR="009F032A" w:rsidRPr="002E01EF">
        <w:rPr>
          <w:rFonts w:eastAsia="宋体"/>
          <w:noProof/>
        </w:rPr>
        <w:t>Observation 1:</w:t>
      </w:r>
    </w:p>
    <w:p w:rsidR="009F032A" w:rsidRDefault="009F032A" w:rsidP="00081451">
      <w:pPr>
        <w:pStyle w:val="10"/>
        <w:tabs>
          <w:tab w:val="left" w:pos="42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E01EF">
        <w:rPr>
          <w:noProof/>
        </w:rPr>
        <w:t>a)</w:t>
      </w:r>
      <w:r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Pr="002E01EF">
        <w:rPr>
          <w:noProof/>
        </w:rPr>
        <w:t>L0 and L1 SL slot sets are periodic in the physical duration sense, and are independent from resource pool configuration thus free from resource pool jittering</w:t>
      </w:r>
    </w:p>
    <w:p w:rsidR="009F032A" w:rsidRDefault="009F032A" w:rsidP="00081451">
      <w:pPr>
        <w:pStyle w:val="10"/>
        <w:tabs>
          <w:tab w:val="left" w:pos="42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E01EF">
        <w:rPr>
          <w:noProof/>
        </w:rPr>
        <w:t>b)</w:t>
      </w:r>
      <w:r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Pr="002E01EF">
        <w:rPr>
          <w:noProof/>
        </w:rPr>
        <w:t>L2 and L3 SL slot sets are closely related to resource pool configuration including e.g. S-SSB and bitmap setting, due to which the following issues may arise</w:t>
      </w:r>
    </w:p>
    <w:p w:rsidR="009F032A" w:rsidRDefault="009F032A" w:rsidP="00081451">
      <w:pPr>
        <w:pStyle w:val="10"/>
        <w:tabs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E01EF">
        <w:rPr>
          <w:noProof/>
        </w:rPr>
        <w:t>- In case the Rx pool where SCI is detected should be different from Tx pool where mode 2 transmission takes place, ambiguity and potential collision could take place given the reservation period should be resource pool specific</w:t>
      </w:r>
    </w:p>
    <w:p w:rsidR="009F032A" w:rsidRDefault="009F032A" w:rsidP="00081451">
      <w:pPr>
        <w:pStyle w:val="10"/>
        <w:tabs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E01EF">
        <w:rPr>
          <w:noProof/>
        </w:rPr>
        <w:t>-The logical resource reservation period is highly likely to be deviated from the physical resource reservation period if L2 and L3 slots are used due to resource pool jittering</w:t>
      </w:r>
    </w:p>
    <w:p w:rsidR="009F032A" w:rsidRDefault="009F032A" w:rsidP="00081451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E01EF">
        <w:rPr>
          <w:rFonts w:eastAsia="宋体"/>
          <w:noProof/>
        </w:rPr>
        <w:t>Observation 2:</w:t>
      </w:r>
      <w:r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Pr="002E01EF">
        <w:rPr>
          <w:noProof/>
        </w:rPr>
        <w:t>Option1’ and Option 3 have larger impact than Option 2 and Option 4.(Both 8.1.4 and 8.1.7 in TS 38.214 should be updated) from both NR and LTE specification perspective</w:t>
      </w:r>
    </w:p>
    <w:p w:rsidR="009F032A" w:rsidRDefault="009F032A" w:rsidP="00081451">
      <w:pPr>
        <w:pStyle w:val="20"/>
        <w:tabs>
          <w:tab w:val="left" w:pos="1282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2E01EF">
        <w:rPr>
          <w:rFonts w:ascii="Arial" w:hAnsi="Arial" w:cs="Arial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2E01EF">
        <w:rPr>
          <w:noProof/>
          <w:lang w:val="en-GB"/>
        </w:rPr>
        <w:t xml:space="preserve">If a UE transmits a SCI format 1-A in slot n in a resource pool, and if “Resource reservation period” in the SCI format 1-A indicates P’ (following 8.1.7 of 38.214), P’ is counted in </w:t>
      </w:r>
      <m:oMath>
        <m:r>
          <m:rPr>
            <m:sty m:val="bi"/>
          </m:rPr>
          <w:rPr>
            <w:rFonts w:ascii="Cambria Math" w:hAnsi="Cambria Math"/>
            <w:noProof/>
          </w:rPr>
          <m:t>t</m:t>
        </m:r>
      </m:oMath>
      <w:r>
        <w:rPr>
          <w:noProof/>
        </w:rPr>
        <w:t xml:space="preserve">he slots </w:t>
      </w:r>
      <w:r w:rsidRPr="002E01EF">
        <w:rPr>
          <w:noProof/>
          <w:lang w:val="en-GB"/>
        </w:rPr>
        <w:t xml:space="preserve">that can be used for SL transmission </w:t>
      </w:r>
      <w:r>
        <w:rPr>
          <w:noProof/>
        </w:rPr>
        <w:t>(i.e. the gap between the slots indicated in SCI within two periods is P).</w:t>
      </w:r>
    </w:p>
    <w:p w:rsidR="007415D7" w:rsidRDefault="008D6B59">
      <w:pPr>
        <w:spacing w:before="120" w:after="120"/>
      </w:pPr>
      <w:r>
        <w:fldChar w:fldCharType="end"/>
      </w:r>
    </w:p>
    <w:p w:rsidR="00DC301E" w:rsidRDefault="008D6B59" w:rsidP="00DC301E">
      <w:pPr>
        <w:pStyle w:val="10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8D6B59">
        <w:fldChar w:fldCharType="begin"/>
      </w:r>
      <w:r w:rsidR="002169E3">
        <w:instrText>TOC \n  \t "YJ-Proposal,1,subullet,2,subsub,3"</w:instrText>
      </w:r>
      <w:r w:rsidRPr="008D6B59">
        <w:fldChar w:fldCharType="separate"/>
      </w:r>
      <w:r w:rsidR="00DC301E" w:rsidRPr="00072FDA">
        <w:rPr>
          <w:rFonts w:eastAsia="宋体"/>
          <w:noProof/>
        </w:rPr>
        <w:t>Proposal 1:</w:t>
      </w:r>
      <w:r w:rsidR="00DC301E"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="00DC301E">
        <w:rPr>
          <w:noProof/>
        </w:rPr>
        <w:t>Considering the tradeoff between specification impact and resolution of resource pool jittering issue</w:t>
      </w:r>
      <w:r w:rsidR="00DC301E" w:rsidRPr="00072FDA">
        <w:rPr>
          <w:noProof/>
        </w:rPr>
        <w:t>, option 4 should be adopted.</w:t>
      </w:r>
    </w:p>
    <w:p w:rsidR="00DC301E" w:rsidRDefault="00DC301E" w:rsidP="00DC301E">
      <w:pPr>
        <w:pStyle w:val="20"/>
        <w:tabs>
          <w:tab w:val="left" w:pos="1282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72FDA">
        <w:rPr>
          <w:rFonts w:ascii="Arial" w:hAnsi="Arial" w:cs="Arial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072FDA">
        <w:rPr>
          <w:noProof/>
          <w:lang w:val="en-GB"/>
        </w:rPr>
        <w:t xml:space="preserve">If a UE transmits a SCI format 1-A in slot n in a resource pool, and if “Resource reservation period” in the SCI format 1-A indicates P’ (following 8.1.7 of 38.214), P’ is counted in </w:t>
      </w:r>
      <m:oMath>
        <m:r>
          <m:rPr>
            <m:sty m:val="bi"/>
          </m:rPr>
          <w:rPr>
            <w:rFonts w:ascii="Cambria Math" w:hAnsi="Cambria Math"/>
            <w:noProof/>
          </w:rPr>
          <m:t>t</m:t>
        </m:r>
      </m:oMath>
      <w:r>
        <w:rPr>
          <w:noProof/>
        </w:rPr>
        <w:t xml:space="preserve">he slots </w:t>
      </w:r>
      <w:r w:rsidRPr="00072FDA">
        <w:rPr>
          <w:noProof/>
          <w:lang w:val="en-GB"/>
        </w:rPr>
        <w:t xml:space="preserve">that can be used for SL transmission </w:t>
      </w:r>
      <w:r>
        <w:rPr>
          <w:noProof/>
        </w:rPr>
        <w:t>(i.e. the gap between the slots indicated in SCI within two periods is P).</w:t>
      </w:r>
    </w:p>
    <w:p w:rsidR="00DC301E" w:rsidRDefault="00DC301E" w:rsidP="00DC301E">
      <w:pPr>
        <w:pStyle w:val="10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072FDA">
        <w:rPr>
          <w:rFonts w:eastAsia="宋体"/>
          <w:noProof/>
        </w:rPr>
        <w:t>Proposal 2:</w:t>
      </w:r>
      <w:r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Pr="00072FDA">
        <w:rPr>
          <w:noProof/>
        </w:rPr>
        <w:t>According to proposal 1, adopt the following TP for TS 38.214 section 8.1.4.</w:t>
      </w:r>
    </w:p>
    <w:p w:rsidR="001D11D2" w:rsidRDefault="008D6B59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lang w:eastAsia="zh-CN"/>
        </w:rPr>
      </w:pPr>
      <w:r>
        <w:fldChar w:fldCharType="end"/>
      </w:r>
      <w:bookmarkStart w:id="15" w:name="_GoBack"/>
      <w:bookmarkEnd w:id="15"/>
    </w:p>
    <w:tbl>
      <w:tblPr>
        <w:tblStyle w:val="ad"/>
        <w:tblW w:w="0" w:type="auto"/>
        <w:tblLook w:val="04A0"/>
      </w:tblPr>
      <w:tblGrid>
        <w:gridCol w:w="9876"/>
      </w:tblGrid>
      <w:tr w:rsidR="001D11D2" w:rsidTr="001D11D2">
        <w:tc>
          <w:tcPr>
            <w:tcW w:w="9876" w:type="dxa"/>
          </w:tcPr>
          <w:p w:rsidR="001D11D2" w:rsidRDefault="001D11D2" w:rsidP="001D11D2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rFonts w:eastAsia="宋体" w:hint="eastAsia"/>
              </w:rPr>
              <w:lastRenderedPageBreak/>
              <w:t>8.1.4</w:t>
            </w:r>
            <w:r>
              <w:rPr>
                <w:rFonts w:hint="eastAsia"/>
              </w:rPr>
              <w:tab/>
            </w:r>
            <w:r>
              <w:rPr>
                <w:color w:val="000000"/>
              </w:rPr>
              <w:t>UE procedure for determining the subset of resources to be reported to higher layers in PSSCH resource selection in sidelink resource allocation mode 2</w:t>
            </w:r>
          </w:p>
          <w:p w:rsidR="001D11D2" w:rsidRDefault="001D11D2" w:rsidP="001D11D2">
            <w:pPr>
              <w:autoSpaceDE/>
              <w:autoSpaceDN/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kern w:val="0"/>
                <w:sz w:val="28"/>
                <w:szCs w:val="28"/>
                <w:lang w:val="en-GB"/>
              </w:rPr>
              <w:t>&lt; Unchanged parts are omitted &gt;</w:t>
            </w:r>
          </w:p>
          <w:p w:rsidR="001D11D2" w:rsidRDefault="001D11D2" w:rsidP="001D11D2">
            <w:pPr>
              <w:spacing w:before="120" w:after="120"/>
            </w:pPr>
            <w:r>
              <w:rPr>
                <w:rFonts w:eastAsia="Calibri"/>
              </w:rPr>
              <w:t xml:space="preserve">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</w:rPr>
                    <m:t>rsvp_TX</m:t>
                  </m:r>
                  <m:ctrlPr>
                    <w:rPr>
                      <w:rFonts w:ascii="Cambria Math" w:eastAsia="Calibri" w:hAnsi="Cambria Math"/>
                    </w:rPr>
                  </m:ctrlPr>
                </m:sub>
              </m:sSub>
            </m:oMath>
            <w:r>
              <w:rPr>
                <w:rFonts w:eastAsia="Calibri"/>
              </w:rPr>
              <w:t>, if provided, is converted from units of msec to units of logical slots,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>where</w:t>
            </w:r>
            <w:r>
              <w:rPr>
                <w:rFonts w:eastAsia="Calibri"/>
                <w:color w:val="FF0000"/>
                <w:u w:val="single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HAnsi" w:hAnsiTheme="minorHAnsi" w:cstheme="minorBidi"/>
                      <w:i/>
                      <w:color w:val="FF0000"/>
                      <w:u w:val="singl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  <w:u w:val="single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p,SL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  <w:u w:val="singl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  <w:u w:val="single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p,SL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  <w:u w:val="singl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  <w:u w:val="single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  <w:u w:val="single"/>
                        </w:rPr>
                        <m:t>p,SL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  <w:u w:val="single"/>
                    </w:rPr>
                    <m:t>,...</m:t>
                  </m:r>
                </m:e>
              </m:d>
            </m:oMath>
            <w:r>
              <w:rPr>
                <w:rFonts w:ascii="Cambria Math" w:hAnsiTheme="minorHAnsi" w:cstheme="minorBidi" w:hint="eastAsia"/>
                <w:color w:val="FF0000"/>
                <w:u w:val="single"/>
              </w:rPr>
              <w:t xml:space="preserve"> denotes the set of logical slots for this conversion</w:t>
            </w:r>
            <w:r>
              <w:rPr>
                <w:rFonts w:hint="eastAsia"/>
                <w:color w:val="FF0000"/>
                <w:u w:val="single"/>
              </w:rPr>
              <w:t>,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Calibri"/>
              </w:rPr>
              <w:t xml:space="preserve">resulting in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</w:rPr>
                    <m:t>rsvp_TX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'</m:t>
                  </m:r>
                </m:sup>
              </m:sSubSup>
            </m:oMath>
            <w:r>
              <w:rPr>
                <w:rFonts w:eastAsia="Calibri"/>
              </w:rPr>
              <w:t xml:space="preserve"> according to clause 8.1.7.</w:t>
            </w:r>
            <w:r>
              <w:rPr>
                <w:rFonts w:hint="eastAsia"/>
              </w:rPr>
              <w:t xml:space="preserve"> </w:t>
            </w:r>
          </w:p>
          <w:p w:rsidR="001D11D2" w:rsidRDefault="001D11D2" w:rsidP="001D11D2">
            <w:pPr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Notation:</w:t>
            </w:r>
          </w:p>
          <w:p w:rsidR="001D11D2" w:rsidRDefault="008D6B59" w:rsidP="001D11D2">
            <w:pPr>
              <w:spacing w:before="120" w:after="120"/>
              <w:rPr>
                <w:rFonts w:eastAsia="Malgun Gothic"/>
                <w:lang w:eastAsia="ko-KR"/>
              </w:rPr>
            </w:pPr>
            <m:oMath>
              <m:d>
                <m:dPr>
                  <m:ctrlPr>
                    <w:rPr>
                      <w:rFonts w:ascii="Cambria Math" w:eastAsiaTheme="minorHAnsi" w:hAnsiTheme="minorHAnsi" w:cstheme="minorBidi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</w:rPr>
                    <m:t>,...</m:t>
                  </m:r>
                </m:e>
              </m:d>
            </m:oMath>
            <w:r w:rsidR="001D11D2">
              <w:rPr>
                <w:rFonts w:asciiTheme="minorHAnsi" w:eastAsia="Malgun Gothic" w:hAnsiTheme="minorHAnsi" w:cstheme="minorBidi" w:hint="eastAsia"/>
                <w:lang w:eastAsia="ko-KR"/>
              </w:rPr>
              <w:t xml:space="preserve"> </w:t>
            </w:r>
            <w:r w:rsidR="001D11D2">
              <w:rPr>
                <w:rFonts w:eastAsia="Malgun Gothic"/>
                <w:lang w:eastAsia="ko-KR"/>
              </w:rPr>
              <w:t xml:space="preserve">denotes the set of slots which can belong to a sidelink resource pool and is defined in Clause 8. </w:t>
            </w:r>
          </w:p>
          <w:p w:rsidR="001D11D2" w:rsidRDefault="008D6B59" w:rsidP="001D11D2">
            <w:pPr>
              <w:spacing w:before="120" w:after="120"/>
              <w:rPr>
                <w:rFonts w:eastAsia="Malgun Gothic"/>
                <w:lang w:eastAsia="ko-KR"/>
              </w:rPr>
            </w:pPr>
            <m:oMath>
              <m:d>
                <m:dPr>
                  <m:ctrlPr>
                    <w:rPr>
                      <w:rFonts w:ascii="Cambria Math" w:eastAsia="Malgun Gothic" w:hAnsi="Cambria Math"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,…</m:t>
                  </m:r>
                </m:e>
              </m:d>
            </m:oMath>
            <w:r w:rsidR="001D11D2">
              <w:rPr>
                <w:rFonts w:asciiTheme="minorHAnsi" w:eastAsia="Malgun Gothic" w:hAnsiTheme="minorHAnsi" w:cstheme="minorBidi" w:hint="eastAsia"/>
                <w:lang w:eastAsia="ko-KR"/>
              </w:rPr>
              <w:t xml:space="preserve"> </w:t>
            </w:r>
            <w:r w:rsidR="001D11D2">
              <w:rPr>
                <w:rFonts w:eastAsia="Malgun Gothic"/>
                <w:lang w:eastAsia="ko-KR"/>
              </w:rPr>
              <w:t>denotes the set of slots which belongs to the sidelink resource pool and is defined in Clause 8.</w:t>
            </w:r>
          </w:p>
          <w:p w:rsidR="001D11D2" w:rsidRDefault="001D11D2" w:rsidP="001D11D2">
            <w:pPr>
              <w:autoSpaceDE/>
              <w:autoSpaceDN/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kern w:val="0"/>
                <w:sz w:val="28"/>
                <w:szCs w:val="28"/>
                <w:lang w:val="en-GB"/>
              </w:rPr>
              <w:t>&lt; Unchanged parts are omitted &gt;</w:t>
            </w:r>
          </w:p>
          <w:p w:rsidR="001D11D2" w:rsidRDefault="001D11D2" w:rsidP="001D11D2">
            <w:pPr>
              <w:pStyle w:val="B1"/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6)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:rsidR="001D11D2" w:rsidRDefault="001D11D2" w:rsidP="001D11D2">
            <w:pPr>
              <w:pStyle w:val="B2"/>
              <w:spacing w:before="120" w:after="12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a)</w:t>
            </w:r>
            <w:r>
              <w:rPr>
                <w:rFonts w:eastAsia="Malgun Gothic"/>
                <w:lang w:val="en-US" w:eastAsia="ko-KR"/>
              </w:rPr>
              <w:tab/>
            </w:r>
            <w:r>
              <w:rPr>
                <w:rFonts w:eastAsia="Malgun Gothic" w:hint="eastAsia"/>
                <w:lang w:val="en-US" w:eastAsia="ko-KR"/>
              </w:rPr>
              <w:t xml:space="preserve">the UE receives an SCI format </w:t>
            </w:r>
            <w:r>
              <w:rPr>
                <w:rFonts w:eastAsia="Malgun Gothic"/>
                <w:lang w:val="en-US" w:eastAsia="ko-KR"/>
              </w:rPr>
              <w:t>1-A</w:t>
            </w:r>
            <w:r>
              <w:rPr>
                <w:rFonts w:eastAsia="Malgun Gothic" w:hint="eastAsia"/>
                <w:lang w:val="en-US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trike/>
                      <w:color w:val="FF0000"/>
                    </w:rPr>
                    <m:t>t</m:t>
                  </m:r>
                  <m:r>
                    <w:rPr>
                      <w:rFonts w:ascii="Cambria Math" w:eastAsia="Malgun Gothic" w:hAnsi="Cambria Math"/>
                      <w:strike/>
                      <w:color w:val="FF0000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  <w:strike/>
                      <w:color w:val="FF0000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strike/>
                      <w:color w:val="FF0000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strike/>
                <w:color w:val="FF0000"/>
                <w:lang w:val="en-US" w:eastAsia="ko-KR"/>
              </w:rPr>
              <w:t>,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p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val="en-US"/>
                    </w:rPr>
                    <m:t>,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color w:val="FF0000"/>
                <w:u w:val="single"/>
                <w:lang w:val="en-US" w:eastAsia="ko-KR"/>
              </w:rPr>
              <w:t>,</w:t>
            </w:r>
            <w:r>
              <w:rPr>
                <w:rFonts w:eastAsia="Malgun Gothic" w:hint="eastAsia"/>
                <w:lang w:val="en-US" w:eastAsia="ko-KR"/>
              </w:rPr>
              <w:t xml:space="preserve">and </w:t>
            </w:r>
            <w:r>
              <w:rPr>
                <w:rFonts w:eastAsia="Malgun Gothic"/>
                <w:lang w:val="en-US" w:eastAsia="ko-KR"/>
              </w:rPr>
              <w:t>'</w:t>
            </w:r>
            <w:r>
              <w:rPr>
                <w:rFonts w:eastAsia="Malgun Gothic"/>
                <w:i/>
                <w:iCs/>
                <w:lang w:val="en-US" w:eastAsia="ko-KR"/>
              </w:rPr>
              <w:t>Resource reservation period'</w:t>
            </w:r>
            <w:r>
              <w:rPr>
                <w:rFonts w:eastAsia="Malgun Gothic"/>
                <w:lang w:val="en-US" w:eastAsia="ko-KR"/>
              </w:rPr>
              <w:t xml:space="preserve"> field, if present,</w:t>
            </w:r>
            <w:r>
              <w:rPr>
                <w:rFonts w:eastAsia="Malgun Gothic" w:hint="eastAsia"/>
                <w:lang w:val="en-US" w:eastAsia="ko-KR"/>
              </w:rPr>
              <w:t xml:space="preserve"> and </w:t>
            </w:r>
            <w:r>
              <w:rPr>
                <w:rFonts w:eastAsia="Malgun Gothic"/>
                <w:lang w:val="en-US" w:eastAsia="ko-KR"/>
              </w:rPr>
              <w:t>'</w:t>
            </w:r>
            <w:r>
              <w:rPr>
                <w:rFonts w:eastAsia="Malgun Gothic" w:hint="eastAsia"/>
                <w:i/>
                <w:iCs/>
                <w:lang w:val="en-US" w:eastAsia="ko-KR"/>
              </w:rPr>
              <w:t>Priority</w:t>
            </w:r>
            <w:r>
              <w:rPr>
                <w:rFonts w:eastAsia="Malgun Gothic"/>
                <w:lang w:val="en-US" w:eastAsia="ko-KR"/>
              </w:rPr>
              <w:t>'</w:t>
            </w:r>
            <w:r>
              <w:rPr>
                <w:rFonts w:eastAsia="Malgun Gothic" w:hint="eastAsia"/>
                <w:lang w:val="en-US" w:eastAsia="ko-KR"/>
              </w:rPr>
              <w:t xml:space="preserve"> field</w:t>
            </w:r>
            <w:r>
              <w:rPr>
                <w:rFonts w:eastAsia="Malgun Gothic"/>
                <w:lang w:val="en-US" w:eastAsia="ko-KR"/>
              </w:rPr>
              <w:t xml:space="preserve"> in the </w:t>
            </w:r>
            <w:r>
              <w:rPr>
                <w:rFonts w:eastAsia="Malgun Gothic" w:hint="eastAsia"/>
                <w:lang w:val="en-US" w:eastAsia="ko-KR"/>
              </w:rPr>
              <w:t xml:space="preserve">received </w:t>
            </w:r>
            <w:r>
              <w:rPr>
                <w:rFonts w:eastAsia="Malgun Gothic"/>
                <w:lang w:val="en-US" w:eastAsia="ko-KR"/>
              </w:rPr>
              <w:t xml:space="preserve">SCI format 1-A </w:t>
            </w:r>
            <w:r>
              <w:rPr>
                <w:rFonts w:eastAsia="Malgun Gothic" w:hint="eastAsia"/>
                <w:lang w:val="en-US"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, respectively according to Clause </w:t>
            </w:r>
            <w:r>
              <w:rPr>
                <w:rFonts w:eastAsia="Malgun Gothic"/>
                <w:lang w:val="en-US" w:eastAsia="ko-KR"/>
              </w:rPr>
              <w:t>16.4 in [6, TS 38.213];</w:t>
            </w:r>
          </w:p>
          <w:p w:rsidR="001D11D2" w:rsidRDefault="001D11D2" w:rsidP="001D11D2">
            <w:pPr>
              <w:pStyle w:val="B2"/>
              <w:spacing w:before="120" w:after="120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 w:eastAsia="ko-KR"/>
              </w:rPr>
              <w:t>b)</w:t>
            </w:r>
            <w:r>
              <w:rPr>
                <w:rFonts w:eastAsia="Malgun Gothic"/>
                <w:lang w:val="en-US" w:eastAsia="ko-KR"/>
              </w:rPr>
              <w:tab/>
              <w:t xml:space="preserve">the RSRP measurement performed, according to clause 8.4.2.1 for the received SCI format 1-A, </w:t>
            </w:r>
            <w:r>
              <w:rPr>
                <w:rFonts w:eastAsia="Malgun Gothic" w:hint="eastAsia"/>
                <w:lang w:val="en-US" w:eastAsia="ko-KR"/>
              </w:rPr>
              <w:t xml:space="preserve">is 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val="en-US"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  <m:r>
                <w:rPr>
                  <w:rFonts w:ascii="Cambria Math"/>
                  <w:lang w:val="en-US" w:eastAsia="en-GB"/>
                </w:rPr>
                <m:t>;</m:t>
              </m:r>
            </m:oMath>
          </w:p>
          <w:p w:rsidR="001D11D2" w:rsidRPr="001D11D2" w:rsidRDefault="001D11D2" w:rsidP="001D11D2">
            <w:pPr>
              <w:pStyle w:val="B2"/>
              <w:spacing w:before="120" w:after="120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c)</w:t>
            </w:r>
            <w:r>
              <w:rPr>
                <w:rFonts w:eastAsia="Malgun Gothic"/>
                <w:lang w:val="en-US" w:eastAsia="ko-KR"/>
              </w:rPr>
              <w:t xml:space="preserve"> 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Theme="minorEastAsia" w:hint="eastAsia"/>
                <w:color w:val="FF0000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p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val="en-US"/>
                    </w:rPr>
                    <m:t>,</m:t>
                  </m:r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color w:val="FF0000"/>
                <w:u w:val="single"/>
                <w:lang w:val="en-US" w:eastAsia="ko-KR"/>
              </w:rPr>
              <w:t>,</w:t>
            </w:r>
            <w:r>
              <w:rPr>
                <w:rFonts w:eastAsia="Malgun Gothic"/>
                <w:lang w:val="en-US" w:eastAsia="ko-KR"/>
              </w:rPr>
              <w:t xml:space="preserve">or </w:t>
            </w:r>
            <w:r>
              <w:rPr>
                <w:rFonts w:eastAsia="Malgun Gothic" w:hint="eastAsia"/>
                <w:lang w:val="en-US" w:eastAsia="ko-KR"/>
              </w:rPr>
              <w:t>the same SCI format which</w:t>
            </w:r>
            <w:r>
              <w:rPr>
                <w:rFonts w:eastAsia="Malgun Gothic"/>
                <w:lang w:val="en-US" w:eastAsia="ko-KR"/>
              </w:rPr>
              <w:t>, if and only if the '</w:t>
            </w:r>
            <w:r>
              <w:rPr>
                <w:rFonts w:eastAsia="Malgun Gothic"/>
                <w:i/>
                <w:iCs/>
                <w:lang w:val="en-US" w:eastAsia="ko-KR"/>
              </w:rPr>
              <w:t>Resource reservation period</w:t>
            </w:r>
            <w:r>
              <w:rPr>
                <w:rFonts w:eastAsia="Malgun Gothic"/>
                <w:lang w:val="en-US" w:eastAsia="ko-KR"/>
              </w:rPr>
              <w:t xml:space="preserve">' field is present in the received SCI format 1-A, </w:t>
            </w:r>
            <w:r>
              <w:rPr>
                <w:rFonts w:eastAsia="Malgun Gothic" w:hint="eastAsia"/>
                <w:lang w:val="en-US" w:eastAsia="ko-KR"/>
              </w:rPr>
              <w:t xml:space="preserve"> is assumed to be received in slot</w:t>
            </w:r>
            <w:r>
              <w:rPr>
                <w:rFonts w:eastAsia="Malgun Gothic"/>
                <w:lang w:val="en-US" w:eastAsia="ko-KR"/>
              </w:rPr>
              <w:t>(s)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</m:t>
                  </m:r>
                  <m:r>
                    <w:rPr>
                      <w:rFonts w:ascii="Cambria Math" w:hAnsi="Cambria Math"/>
                      <w:color w:val="FF0000"/>
                      <w:lang w:val="en-US" w:eastAsia="en-GB"/>
                    </w:rPr>
                    <m:t>+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</m:t>
                      </m:r>
                      <m:r>
                        <w:rPr>
                          <w:rFonts w:ascii="Cambria Math" w:hAnsi="Cambria Math"/>
                          <w:color w:val="FF0000"/>
                          <w:lang w:val="en-US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p</m:t>
                  </m:r>
                  <m:r>
                    <w:rPr>
                      <w:rFonts w:ascii="Cambria Math" w:hAnsi="Cambria Math"/>
                      <w:color w:val="FF0000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>
              <w:rPr>
                <w:rFonts w:eastAsia="Malgun Gothic" w:hint="eastAsia"/>
                <w:lang w:val="en-US" w:eastAsia="ko-KR"/>
              </w:rPr>
              <w:t xml:space="preserve"> determine</w:t>
            </w:r>
            <w:r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 w:hint="eastAsia"/>
                <w:lang w:val="en-US" w:eastAsia="ko-KR"/>
              </w:rPr>
              <w:t xml:space="preserve"> according to </w:t>
            </w:r>
            <w:r>
              <w:rPr>
                <w:rFonts w:eastAsia="Malgun Gothic"/>
                <w:lang w:val="en-US" w:eastAsia="ko-KR"/>
              </w:rPr>
              <w:t>clause 8.1.5 the set of resource blocks and slots which</w:t>
            </w:r>
            <w:r>
              <w:rPr>
                <w:rFonts w:eastAsia="Malgun Gothic" w:hint="eastAsia"/>
                <w:lang w:val="en-US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j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w:rPr>
                          <w:rFonts w:ascii="Cambria Math" w:hAnsi="Cambria Math"/>
                          <w:lang w:val="en-US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bSup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 for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i/>
                <w:lang w:val="en-US" w:eastAsia="ko-KR"/>
              </w:rPr>
              <w:t>q</w:t>
            </w:r>
            <w:r>
              <w:rPr>
                <w:rFonts w:eastAsia="Malgun Gothic" w:hint="eastAsia"/>
                <w:lang w:val="en-US" w:eastAsia="ko-KR"/>
              </w:rPr>
              <w:t xml:space="preserve">=1, 2, </w:t>
            </w:r>
            <w:r>
              <w:rPr>
                <w:rFonts w:eastAsia="Malgun Gothic"/>
                <w:lang w:val="en-US" w:eastAsia="ko-KR"/>
              </w:rPr>
              <w:t>…</w:t>
            </w:r>
            <w:r>
              <w:rPr>
                <w:rFonts w:eastAsia="Malgun Gothic" w:hint="eastAsia"/>
                <w:lang w:val="en-US" w:eastAsia="ko-KR"/>
              </w:rPr>
              <w:t xml:space="preserve">, </w:t>
            </w:r>
            <w:r>
              <w:rPr>
                <w:rFonts w:eastAsia="Malgun Gothic" w:hint="eastAsia"/>
                <w:i/>
                <w:lang w:val="en-US" w:eastAsia="ko-KR"/>
              </w:rPr>
              <w:t>Q</w:t>
            </w:r>
            <w:r>
              <w:rPr>
                <w:rFonts w:eastAsia="Malgun Gothic" w:hint="eastAsia"/>
                <w:lang w:val="en-US" w:eastAsia="ko-KR"/>
              </w:rPr>
              <w:t xml:space="preserve"> and </w:t>
            </w:r>
            <w:r>
              <w:rPr>
                <w:rFonts w:eastAsia="Malgun Gothic" w:hint="eastAsia"/>
                <w:i/>
                <w:lang w:val="en-US" w:eastAsia="ko-KR"/>
              </w:rPr>
              <w:t>j=</w:t>
            </w:r>
            <w:r>
              <w:rPr>
                <w:rFonts w:eastAsia="Malgun Gothic" w:hint="eastAsia"/>
                <w:lang w:val="en-US" w:eastAsia="ko-KR"/>
              </w:rPr>
              <w:t xml:space="preserve">0, 1, </w:t>
            </w:r>
            <w:r>
              <w:rPr>
                <w:rFonts w:eastAsia="Malgun Gothic"/>
                <w:lang w:val="en-US" w:eastAsia="ko-KR"/>
              </w:rPr>
              <w:t>…</w:t>
            </w:r>
            <w:r>
              <w:rPr>
                <w:rFonts w:eastAsia="Malgun Gothic" w:hint="eastAsia"/>
                <w:lang w:val="en-US"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-1</m:t>
              </m:r>
            </m:oMath>
            <w:r>
              <w:rPr>
                <w:rFonts w:eastAsia="Malgun Gothic" w:hint="eastAsia"/>
                <w:lang w:val="en-US" w:eastAsia="ko-KR"/>
              </w:rPr>
              <w:t>. H</w:t>
            </w:r>
            <w:r>
              <w:rPr>
                <w:rFonts w:eastAsia="Malgun Gothic"/>
                <w:lang w:val="en-US" w:eastAsia="ko-KR"/>
              </w:rPr>
              <w:t>e</w:t>
            </w:r>
            <w:r>
              <w:rPr>
                <w:rFonts w:eastAsia="Malgun Gothic" w:hint="eastAsia"/>
                <w:lang w:val="en-US" w:eastAsia="ko-KR"/>
              </w:rPr>
              <w:t>re,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bSup>
            </m:oMath>
            <w:r>
              <w:rPr>
                <w:rFonts w:eastAsia="Malgun Gothic"/>
                <w:lang w:val="en-US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/>
                <w:lang w:val="en-US" w:eastAsia="en-GB"/>
              </w:rPr>
              <w:t xml:space="preserve"> converted to units of logical slots according to clause 8.1.7,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</m:t>
              </m:r>
              <m:r>
                <w:rPr>
                  <w:rFonts w:ascii="Cambria Math" w:hAnsi="Cambria Math"/>
                  <w:lang w:val="en-US" w:eastAsia="en-GB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w:rPr>
                              <w:rFonts w:ascii="Cambria Math" w:hAnsi="Cambria Math"/>
                              <w:lang w:val="en-US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 w:eastAsia="en-GB"/>
                </w:rPr>
                <m:t xml:space="preserve"> </m:t>
              </m:r>
            </m:oMath>
            <w:r>
              <w:rPr>
                <w:rFonts w:eastAsia="Malgun Gothic"/>
                <w:lang w:val="en-US" w:eastAsia="en-GB"/>
              </w:rPr>
              <w:t xml:space="preserve"> </w:t>
            </w:r>
            <w:r>
              <w:rPr>
                <w:rFonts w:eastAsia="Malgun Gothic" w:hint="eastAsia"/>
                <w:lang w:val="en-US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US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>
              <w:rPr>
                <w:rFonts w:eastAsia="Malgun Gothic" w:hint="eastAsia"/>
                <w:lang w:val="en-US" w:eastAsia="ko-KR"/>
              </w:rPr>
              <w:t xml:space="preserve"> and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US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val="en-US" w:eastAsia="en-GB"/>
                </w:rPr>
                <m:t>-</m:t>
              </m:r>
              <m:r>
                <w:rPr>
                  <w:rFonts w:ascii="Cambria Math" w:hAnsi="Cambria Math"/>
                  <w:lang w:eastAsia="en-GB"/>
                </w:rPr>
                <m:t>m</m:t>
              </m:r>
              <m:r>
                <w:rPr>
                  <w:rFonts w:ascii="Cambria Math" w:hAnsi="Cambria Math"/>
                  <w:lang w:val="en-US" w:eastAsia="en-GB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bSup>
            </m:oMath>
            <w:r>
              <w:rPr>
                <w:rFonts w:eastAsia="Malgun Gothic" w:hint="eastAsia"/>
                <w:lang w:val="en-US" w:eastAsia="ko-KR"/>
              </w:rPr>
              <w:t xml:space="preserve">, </w:t>
            </w:r>
            <w:r>
              <w:rPr>
                <w:rFonts w:hint="eastAsia"/>
                <w:lang w:val="en-US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US" w:eastAsia="en-GB"/>
                </w:rPr>
                <m:t xml:space="preserve"> = </m:t>
              </m:r>
              <m:r>
                <w:rPr>
                  <w:rFonts w:ascii="Cambria Math" w:hAnsi="Cambria Math"/>
                  <w:lang w:eastAsia="en-GB"/>
                </w:rPr>
                <m:t>n</m:t>
              </m:r>
            </m:oMath>
            <w:r>
              <w:rPr>
                <w:rFonts w:hint="eastAsia"/>
                <w:lang w:val="en-US"/>
              </w:rPr>
              <w:t xml:space="preserve"> if slot </w:t>
            </w:r>
            <w:r>
              <w:rPr>
                <w:i/>
                <w:iCs/>
                <w:color w:val="000000"/>
                <w:lang w:val="en-US"/>
              </w:rPr>
              <w:t>n</w:t>
            </w:r>
            <w:r>
              <w:rPr>
                <w:rFonts w:hint="eastAsia"/>
                <w:lang w:val="en-US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>
              <w:rPr>
                <w:rFonts w:hint="eastAsia"/>
                <w:lang w:val="en-US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>
              <w:rPr>
                <w:lang w:val="en-US" w:eastAsia="en-GB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is the first slot after slot </w:t>
            </w:r>
            <w:r>
              <w:rPr>
                <w:i/>
                <w:iCs/>
                <w:color w:val="000000"/>
                <w:lang w:val="en-US"/>
              </w:rPr>
              <w:t>n</w:t>
            </w:r>
            <w:r>
              <w:rPr>
                <w:rFonts w:hint="eastAsia"/>
                <w:lang w:val="en-US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>
              <w:rPr>
                <w:rFonts w:hint="eastAsia"/>
                <w:lang w:val="en-US"/>
              </w:rPr>
              <w:t>;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en-US" w:eastAsia="ko-KR"/>
              </w:rPr>
              <w:t>otherwise</w:t>
            </w:r>
            <w:r>
              <w:rPr>
                <w:lang w:val="en-US"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</m:t>
              </m:r>
              <m:r>
                <w:rPr>
                  <w:rFonts w:ascii="Cambria Math"/>
                  <w:lang w:val="en-US" w:eastAsia="en-GB"/>
                </w:rPr>
                <m:t>=1</m:t>
              </m:r>
            </m:oMath>
            <w:r>
              <w:rPr>
                <w:lang w:val="en-US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>
              <w:rPr>
                <w:lang w:val="en-US" w:eastAsia="en-GB"/>
              </w:rPr>
              <w:t xml:space="preserve"> is set to selection window size </w:t>
            </w:r>
            <w:r>
              <w:rPr>
                <w:i/>
                <w:lang w:val="en-US" w:eastAsia="en-GB"/>
              </w:rPr>
              <w:t>T</w:t>
            </w:r>
            <w:r>
              <w:rPr>
                <w:i/>
                <w:vertAlign w:val="subscript"/>
                <w:lang w:val="en-US" w:eastAsia="en-GB"/>
              </w:rPr>
              <w:t>2</w:t>
            </w:r>
            <w:r>
              <w:rPr>
                <w:lang w:val="en-US" w:eastAsia="en-GB"/>
              </w:rPr>
              <w:t xml:space="preserve"> converted to units of </w:t>
            </w:r>
            <w:r>
              <w:rPr>
                <w:iCs/>
                <w:lang w:val="en-GB" w:eastAsia="en-GB"/>
              </w:rPr>
              <w:t>msec</w:t>
            </w:r>
            <w:r>
              <w:rPr>
                <w:lang w:val="en-US" w:eastAsia="en-GB"/>
              </w:rPr>
              <w:t>.</w:t>
            </w:r>
          </w:p>
          <w:p w:rsidR="001D11D2" w:rsidRPr="001D11D2" w:rsidRDefault="001D11D2" w:rsidP="001D11D2">
            <w:pPr>
              <w:pStyle w:val="YJ-Proposal"/>
              <w:numPr>
                <w:ilvl w:val="0"/>
                <w:numId w:val="0"/>
              </w:numPr>
              <w:spacing w:before="120" w:after="120"/>
              <w:rPr>
                <w:b w:val="0"/>
                <w:i w:val="0"/>
                <w:lang w:val="en-US" w:eastAsia="zh-CN"/>
              </w:rPr>
            </w:pPr>
          </w:p>
        </w:tc>
      </w:tr>
    </w:tbl>
    <w:p w:rsidR="00DC301E" w:rsidRDefault="00DC301E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lang w:eastAsia="zh-CN"/>
        </w:rPr>
      </w:pPr>
    </w:p>
    <w:p w:rsidR="00CF3099" w:rsidRDefault="00CF3099">
      <w:pPr>
        <w:tabs>
          <w:tab w:val="right" w:pos="9660"/>
        </w:tabs>
        <w:snapToGrid w:val="0"/>
        <w:spacing w:before="120" w:after="120"/>
      </w:pPr>
    </w:p>
    <w:p w:rsidR="00CF3099" w:rsidRDefault="002169E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</w:p>
    <w:p w:rsidR="007415D7" w:rsidRDefault="002169E3">
      <w:pPr>
        <w:widowControl w:val="0"/>
        <w:numPr>
          <w:ilvl w:val="0"/>
          <w:numId w:val="10"/>
        </w:numPr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Chairman note RAN1#103-e</w:t>
      </w:r>
    </w:p>
    <w:sectPr w:rsidR="007415D7" w:rsidSect="007415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472" w:rsidRDefault="00B22472" w:rsidP="00E159A2">
      <w:pPr>
        <w:spacing w:before="120" w:after="120" w:line="240" w:lineRule="auto"/>
      </w:pPr>
      <w:r>
        <w:separator/>
      </w:r>
    </w:p>
  </w:endnote>
  <w:endnote w:type="continuationSeparator" w:id="0">
    <w:p w:rsidR="00B22472" w:rsidRDefault="00B22472" w:rsidP="00E159A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099" w:rsidRDefault="00CF3099">
    <w:pPr>
      <w:pStyle w:val="a7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802991"/>
    </w:sdtPr>
    <w:sdtContent>
      <w:p w:rsidR="00CF3099" w:rsidRDefault="008D6B59">
        <w:pPr>
          <w:pStyle w:val="a7"/>
          <w:spacing w:before="120" w:after="120"/>
          <w:jc w:val="center"/>
        </w:pPr>
        <w:fldSimple w:instr=" PAGE   \* MERGEFORMAT ">
          <w:r w:rsidR="000233DB">
            <w:rPr>
              <w:noProof/>
            </w:rPr>
            <w:t>1</w:t>
          </w:r>
        </w:fldSimple>
      </w:p>
    </w:sdtContent>
  </w:sdt>
  <w:p w:rsidR="00CF3099" w:rsidRDefault="00CF3099">
    <w:pPr>
      <w:pStyle w:val="a7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099" w:rsidRDefault="00CF3099">
    <w:pPr>
      <w:pStyle w:val="a7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472" w:rsidRDefault="00B22472" w:rsidP="00E159A2">
      <w:pPr>
        <w:spacing w:before="120" w:after="120" w:line="240" w:lineRule="auto"/>
      </w:pPr>
      <w:r>
        <w:separator/>
      </w:r>
    </w:p>
  </w:footnote>
  <w:footnote w:type="continuationSeparator" w:id="0">
    <w:p w:rsidR="00B22472" w:rsidRDefault="00B22472" w:rsidP="00E159A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099" w:rsidRDefault="00CF3099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099" w:rsidRDefault="00CF3099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099" w:rsidRDefault="00CF3099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BAB4CE12"/>
    <w:multiLevelType w:val="multilevel"/>
    <w:tmpl w:val="BAB4CE12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343BB7"/>
    <w:multiLevelType w:val="multi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AC30BF5"/>
    <w:multiLevelType w:val="multilevel"/>
    <w:tmpl w:val="3AC30BF5"/>
    <w:lvl w:ilvl="0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632A7E49"/>
    <w:multiLevelType w:val="multilevel"/>
    <w:tmpl w:val="632A7E4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60A1"/>
    <w:rsid w:val="000145B0"/>
    <w:rsid w:val="00021417"/>
    <w:rsid w:val="000233DB"/>
    <w:rsid w:val="00023F70"/>
    <w:rsid w:val="00024917"/>
    <w:rsid w:val="0002708F"/>
    <w:rsid w:val="00055E90"/>
    <w:rsid w:val="0006398D"/>
    <w:rsid w:val="00081451"/>
    <w:rsid w:val="0008331E"/>
    <w:rsid w:val="000A4133"/>
    <w:rsid w:val="000A4385"/>
    <w:rsid w:val="000A5F2D"/>
    <w:rsid w:val="000C6FD0"/>
    <w:rsid w:val="000D2BFF"/>
    <w:rsid w:val="000D57E0"/>
    <w:rsid w:val="000F331A"/>
    <w:rsid w:val="000F734B"/>
    <w:rsid w:val="00103A61"/>
    <w:rsid w:val="00124481"/>
    <w:rsid w:val="00126AB9"/>
    <w:rsid w:val="00136DE0"/>
    <w:rsid w:val="0014297B"/>
    <w:rsid w:val="00153D6E"/>
    <w:rsid w:val="00154928"/>
    <w:rsid w:val="001668F7"/>
    <w:rsid w:val="00172A27"/>
    <w:rsid w:val="00181331"/>
    <w:rsid w:val="001A02CC"/>
    <w:rsid w:val="001A0763"/>
    <w:rsid w:val="001B4491"/>
    <w:rsid w:val="001B4A61"/>
    <w:rsid w:val="001C7EE8"/>
    <w:rsid w:val="001D11D2"/>
    <w:rsid w:val="001D4CE0"/>
    <w:rsid w:val="001E3484"/>
    <w:rsid w:val="001E43E0"/>
    <w:rsid w:val="001E4FF2"/>
    <w:rsid w:val="001E6706"/>
    <w:rsid w:val="001F442D"/>
    <w:rsid w:val="00205DE5"/>
    <w:rsid w:val="00207115"/>
    <w:rsid w:val="00210590"/>
    <w:rsid w:val="0021619D"/>
    <w:rsid w:val="002169E3"/>
    <w:rsid w:val="002169F5"/>
    <w:rsid w:val="00220EAE"/>
    <w:rsid w:val="00224306"/>
    <w:rsid w:val="00251D82"/>
    <w:rsid w:val="00256654"/>
    <w:rsid w:val="002721B8"/>
    <w:rsid w:val="00284819"/>
    <w:rsid w:val="002A5285"/>
    <w:rsid w:val="002B7F9A"/>
    <w:rsid w:val="002D17CE"/>
    <w:rsid w:val="002D2488"/>
    <w:rsid w:val="002D535F"/>
    <w:rsid w:val="002E5075"/>
    <w:rsid w:val="002F60C6"/>
    <w:rsid w:val="00307D72"/>
    <w:rsid w:val="00365C81"/>
    <w:rsid w:val="00371A27"/>
    <w:rsid w:val="0038701B"/>
    <w:rsid w:val="003875B1"/>
    <w:rsid w:val="003A69A9"/>
    <w:rsid w:val="003B45A9"/>
    <w:rsid w:val="003D6404"/>
    <w:rsid w:val="004127DE"/>
    <w:rsid w:val="004136C5"/>
    <w:rsid w:val="00415A01"/>
    <w:rsid w:val="0043126B"/>
    <w:rsid w:val="00432CFA"/>
    <w:rsid w:val="00447360"/>
    <w:rsid w:val="004473B1"/>
    <w:rsid w:val="00450ED2"/>
    <w:rsid w:val="00464D3A"/>
    <w:rsid w:val="00474D46"/>
    <w:rsid w:val="00475442"/>
    <w:rsid w:val="00486D5B"/>
    <w:rsid w:val="00491DB1"/>
    <w:rsid w:val="00491F56"/>
    <w:rsid w:val="004A0A7D"/>
    <w:rsid w:val="004B7C15"/>
    <w:rsid w:val="004C7188"/>
    <w:rsid w:val="004C7366"/>
    <w:rsid w:val="004D00C7"/>
    <w:rsid w:val="004D7D6B"/>
    <w:rsid w:val="004E2C18"/>
    <w:rsid w:val="004E7D56"/>
    <w:rsid w:val="004F40F6"/>
    <w:rsid w:val="004F5309"/>
    <w:rsid w:val="005117D3"/>
    <w:rsid w:val="0051350A"/>
    <w:rsid w:val="005317AF"/>
    <w:rsid w:val="00540778"/>
    <w:rsid w:val="005558F3"/>
    <w:rsid w:val="00564DDE"/>
    <w:rsid w:val="00571C54"/>
    <w:rsid w:val="00571EA0"/>
    <w:rsid w:val="00580663"/>
    <w:rsid w:val="005A34D4"/>
    <w:rsid w:val="005A634E"/>
    <w:rsid w:val="005B04FD"/>
    <w:rsid w:val="005B5EA3"/>
    <w:rsid w:val="005C460A"/>
    <w:rsid w:val="005E40FB"/>
    <w:rsid w:val="0060166B"/>
    <w:rsid w:val="00610E84"/>
    <w:rsid w:val="00623BAF"/>
    <w:rsid w:val="00624225"/>
    <w:rsid w:val="00627358"/>
    <w:rsid w:val="00645440"/>
    <w:rsid w:val="006519B5"/>
    <w:rsid w:val="00652629"/>
    <w:rsid w:val="00653D1A"/>
    <w:rsid w:val="00682C34"/>
    <w:rsid w:val="00692759"/>
    <w:rsid w:val="0069337F"/>
    <w:rsid w:val="006C4FC1"/>
    <w:rsid w:val="006D0BE3"/>
    <w:rsid w:val="006E07F5"/>
    <w:rsid w:val="006E2948"/>
    <w:rsid w:val="007274EB"/>
    <w:rsid w:val="00735D0D"/>
    <w:rsid w:val="007415D7"/>
    <w:rsid w:val="00756220"/>
    <w:rsid w:val="00776540"/>
    <w:rsid w:val="007A6E7D"/>
    <w:rsid w:val="007B4AEC"/>
    <w:rsid w:val="007B78BA"/>
    <w:rsid w:val="007B7C40"/>
    <w:rsid w:val="007C212D"/>
    <w:rsid w:val="007C2AEA"/>
    <w:rsid w:val="007C56BF"/>
    <w:rsid w:val="007E083E"/>
    <w:rsid w:val="007F0C82"/>
    <w:rsid w:val="008308A0"/>
    <w:rsid w:val="00832E40"/>
    <w:rsid w:val="00840C7A"/>
    <w:rsid w:val="00841F02"/>
    <w:rsid w:val="00847D16"/>
    <w:rsid w:val="008616A3"/>
    <w:rsid w:val="00866C06"/>
    <w:rsid w:val="00887B64"/>
    <w:rsid w:val="00887C4C"/>
    <w:rsid w:val="00892BB4"/>
    <w:rsid w:val="008A2EFE"/>
    <w:rsid w:val="008C42E9"/>
    <w:rsid w:val="008D0FE9"/>
    <w:rsid w:val="008D6B59"/>
    <w:rsid w:val="009211BF"/>
    <w:rsid w:val="00923381"/>
    <w:rsid w:val="0092386E"/>
    <w:rsid w:val="00944A9F"/>
    <w:rsid w:val="00954CEE"/>
    <w:rsid w:val="00957C85"/>
    <w:rsid w:val="00961D39"/>
    <w:rsid w:val="0096312C"/>
    <w:rsid w:val="0096379A"/>
    <w:rsid w:val="009727FD"/>
    <w:rsid w:val="00985071"/>
    <w:rsid w:val="009B08B2"/>
    <w:rsid w:val="009F032A"/>
    <w:rsid w:val="00A1419A"/>
    <w:rsid w:val="00A36F0A"/>
    <w:rsid w:val="00A45420"/>
    <w:rsid w:val="00A55ACD"/>
    <w:rsid w:val="00A56B38"/>
    <w:rsid w:val="00A73727"/>
    <w:rsid w:val="00A8652B"/>
    <w:rsid w:val="00A9687A"/>
    <w:rsid w:val="00AB1D66"/>
    <w:rsid w:val="00AB7E4D"/>
    <w:rsid w:val="00AC1DDD"/>
    <w:rsid w:val="00AC4B90"/>
    <w:rsid w:val="00AD02C9"/>
    <w:rsid w:val="00AE71B6"/>
    <w:rsid w:val="00B012CB"/>
    <w:rsid w:val="00B0288C"/>
    <w:rsid w:val="00B22472"/>
    <w:rsid w:val="00B3240D"/>
    <w:rsid w:val="00B34861"/>
    <w:rsid w:val="00B5514D"/>
    <w:rsid w:val="00B551F6"/>
    <w:rsid w:val="00B56064"/>
    <w:rsid w:val="00B6797B"/>
    <w:rsid w:val="00B92BB4"/>
    <w:rsid w:val="00C107DB"/>
    <w:rsid w:val="00C27661"/>
    <w:rsid w:val="00C322B2"/>
    <w:rsid w:val="00C33951"/>
    <w:rsid w:val="00C3448B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6EF3"/>
    <w:rsid w:val="00CD3F9F"/>
    <w:rsid w:val="00CE5EAF"/>
    <w:rsid w:val="00CF3099"/>
    <w:rsid w:val="00D0372D"/>
    <w:rsid w:val="00D05CCB"/>
    <w:rsid w:val="00D0717D"/>
    <w:rsid w:val="00D12096"/>
    <w:rsid w:val="00D15E57"/>
    <w:rsid w:val="00D2097F"/>
    <w:rsid w:val="00D21EF8"/>
    <w:rsid w:val="00D3031A"/>
    <w:rsid w:val="00D35BC4"/>
    <w:rsid w:val="00D67AC0"/>
    <w:rsid w:val="00D67B5A"/>
    <w:rsid w:val="00D70142"/>
    <w:rsid w:val="00D7345C"/>
    <w:rsid w:val="00DA07B5"/>
    <w:rsid w:val="00DA28CF"/>
    <w:rsid w:val="00DB5D94"/>
    <w:rsid w:val="00DC301E"/>
    <w:rsid w:val="00E006DF"/>
    <w:rsid w:val="00E01390"/>
    <w:rsid w:val="00E159A2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85C15"/>
    <w:rsid w:val="00E917BF"/>
    <w:rsid w:val="00EC56AB"/>
    <w:rsid w:val="00EC62DB"/>
    <w:rsid w:val="00F128B1"/>
    <w:rsid w:val="00F15C6E"/>
    <w:rsid w:val="00F20F76"/>
    <w:rsid w:val="00F21B9C"/>
    <w:rsid w:val="00F21C0C"/>
    <w:rsid w:val="00F23D40"/>
    <w:rsid w:val="00F35371"/>
    <w:rsid w:val="00F506E5"/>
    <w:rsid w:val="00F535F8"/>
    <w:rsid w:val="00F7259C"/>
    <w:rsid w:val="00F858CA"/>
    <w:rsid w:val="00F91B54"/>
    <w:rsid w:val="00FA3682"/>
    <w:rsid w:val="00FA3D99"/>
    <w:rsid w:val="00FB3C9D"/>
    <w:rsid w:val="00FB6239"/>
    <w:rsid w:val="00FB7CA4"/>
    <w:rsid w:val="00FC3509"/>
    <w:rsid w:val="00FD5FC4"/>
    <w:rsid w:val="00FF10BD"/>
    <w:rsid w:val="01764F01"/>
    <w:rsid w:val="01854FE9"/>
    <w:rsid w:val="018E207B"/>
    <w:rsid w:val="0190283E"/>
    <w:rsid w:val="019D155B"/>
    <w:rsid w:val="01AE307F"/>
    <w:rsid w:val="01C00B7B"/>
    <w:rsid w:val="01FB366B"/>
    <w:rsid w:val="024D6B6A"/>
    <w:rsid w:val="027371D9"/>
    <w:rsid w:val="028F6D4C"/>
    <w:rsid w:val="029B04E7"/>
    <w:rsid w:val="03073BDC"/>
    <w:rsid w:val="03082DC2"/>
    <w:rsid w:val="03814F5B"/>
    <w:rsid w:val="03B339B1"/>
    <w:rsid w:val="03C1287B"/>
    <w:rsid w:val="04030035"/>
    <w:rsid w:val="042A1113"/>
    <w:rsid w:val="04305EA0"/>
    <w:rsid w:val="04684A28"/>
    <w:rsid w:val="04782230"/>
    <w:rsid w:val="04894975"/>
    <w:rsid w:val="053E65E7"/>
    <w:rsid w:val="0555228E"/>
    <w:rsid w:val="057D1D66"/>
    <w:rsid w:val="059D265F"/>
    <w:rsid w:val="05AA77CD"/>
    <w:rsid w:val="05B92EC1"/>
    <w:rsid w:val="05E078B3"/>
    <w:rsid w:val="0601277E"/>
    <w:rsid w:val="060C5AED"/>
    <w:rsid w:val="06172561"/>
    <w:rsid w:val="068E06BC"/>
    <w:rsid w:val="06AC3988"/>
    <w:rsid w:val="06E7678C"/>
    <w:rsid w:val="071C13A8"/>
    <w:rsid w:val="073D143C"/>
    <w:rsid w:val="074855FD"/>
    <w:rsid w:val="07627CA0"/>
    <w:rsid w:val="076319C4"/>
    <w:rsid w:val="07971B3F"/>
    <w:rsid w:val="07983294"/>
    <w:rsid w:val="07B9290D"/>
    <w:rsid w:val="07BE52B9"/>
    <w:rsid w:val="080C7FA0"/>
    <w:rsid w:val="084D4CCC"/>
    <w:rsid w:val="08A44DA6"/>
    <w:rsid w:val="08AA245A"/>
    <w:rsid w:val="08E916DF"/>
    <w:rsid w:val="09F67CD5"/>
    <w:rsid w:val="0A0835C8"/>
    <w:rsid w:val="0A646846"/>
    <w:rsid w:val="0AF13898"/>
    <w:rsid w:val="0AFB3228"/>
    <w:rsid w:val="0B3E7DD7"/>
    <w:rsid w:val="0B561995"/>
    <w:rsid w:val="0B847B39"/>
    <w:rsid w:val="0B9E71DF"/>
    <w:rsid w:val="0C3427D0"/>
    <w:rsid w:val="0C4426AF"/>
    <w:rsid w:val="0C5C6396"/>
    <w:rsid w:val="0CC37BC2"/>
    <w:rsid w:val="0CD87ABE"/>
    <w:rsid w:val="0CE26C42"/>
    <w:rsid w:val="0D6E2620"/>
    <w:rsid w:val="0D883C88"/>
    <w:rsid w:val="0D966BF7"/>
    <w:rsid w:val="0DB2368D"/>
    <w:rsid w:val="0E963344"/>
    <w:rsid w:val="0F764270"/>
    <w:rsid w:val="0F98796C"/>
    <w:rsid w:val="0FBE2A42"/>
    <w:rsid w:val="0FC424B9"/>
    <w:rsid w:val="1031175D"/>
    <w:rsid w:val="107D41AE"/>
    <w:rsid w:val="10E746EA"/>
    <w:rsid w:val="10F52718"/>
    <w:rsid w:val="112F5922"/>
    <w:rsid w:val="11821DC9"/>
    <w:rsid w:val="11921373"/>
    <w:rsid w:val="119D7849"/>
    <w:rsid w:val="11F23D05"/>
    <w:rsid w:val="1210682D"/>
    <w:rsid w:val="123A05DB"/>
    <w:rsid w:val="127E5AA6"/>
    <w:rsid w:val="12AB7A32"/>
    <w:rsid w:val="12D22971"/>
    <w:rsid w:val="12D85654"/>
    <w:rsid w:val="130E3629"/>
    <w:rsid w:val="13332F77"/>
    <w:rsid w:val="137266E0"/>
    <w:rsid w:val="13D024B3"/>
    <w:rsid w:val="13D64524"/>
    <w:rsid w:val="13D86A45"/>
    <w:rsid w:val="13DD445E"/>
    <w:rsid w:val="13FD073F"/>
    <w:rsid w:val="1405674E"/>
    <w:rsid w:val="14087FC1"/>
    <w:rsid w:val="141E583B"/>
    <w:rsid w:val="14DA3DA1"/>
    <w:rsid w:val="14EA1C4D"/>
    <w:rsid w:val="154C2017"/>
    <w:rsid w:val="154D342A"/>
    <w:rsid w:val="1575191B"/>
    <w:rsid w:val="159F61EC"/>
    <w:rsid w:val="15E30A80"/>
    <w:rsid w:val="1608480E"/>
    <w:rsid w:val="161C1C58"/>
    <w:rsid w:val="16461A95"/>
    <w:rsid w:val="16594F06"/>
    <w:rsid w:val="16620491"/>
    <w:rsid w:val="167A52A9"/>
    <w:rsid w:val="16866882"/>
    <w:rsid w:val="16AC4DDB"/>
    <w:rsid w:val="16AE2FE3"/>
    <w:rsid w:val="16B4400E"/>
    <w:rsid w:val="1738730F"/>
    <w:rsid w:val="17481B81"/>
    <w:rsid w:val="175007ED"/>
    <w:rsid w:val="176B45C6"/>
    <w:rsid w:val="17E84839"/>
    <w:rsid w:val="18005F41"/>
    <w:rsid w:val="183E1D37"/>
    <w:rsid w:val="18812331"/>
    <w:rsid w:val="19001FFC"/>
    <w:rsid w:val="190E2B4A"/>
    <w:rsid w:val="19B46E10"/>
    <w:rsid w:val="1A054259"/>
    <w:rsid w:val="1A8301C0"/>
    <w:rsid w:val="1A872248"/>
    <w:rsid w:val="1AA74D3D"/>
    <w:rsid w:val="1AB613FD"/>
    <w:rsid w:val="1AD26086"/>
    <w:rsid w:val="1B2530B4"/>
    <w:rsid w:val="1B3637AD"/>
    <w:rsid w:val="1B454C94"/>
    <w:rsid w:val="1B7F6005"/>
    <w:rsid w:val="1BC01115"/>
    <w:rsid w:val="1C053414"/>
    <w:rsid w:val="1C132CB9"/>
    <w:rsid w:val="1C273D33"/>
    <w:rsid w:val="1C7F54CE"/>
    <w:rsid w:val="1C973EEF"/>
    <w:rsid w:val="1CCC26CA"/>
    <w:rsid w:val="1CD44D3D"/>
    <w:rsid w:val="1CE615C9"/>
    <w:rsid w:val="1D3305FF"/>
    <w:rsid w:val="1D7072CE"/>
    <w:rsid w:val="1E2F243E"/>
    <w:rsid w:val="1E884F62"/>
    <w:rsid w:val="1E9D6342"/>
    <w:rsid w:val="1EE25FDD"/>
    <w:rsid w:val="1F4F2219"/>
    <w:rsid w:val="1F60298F"/>
    <w:rsid w:val="1FA6556D"/>
    <w:rsid w:val="1FAF2571"/>
    <w:rsid w:val="204E6676"/>
    <w:rsid w:val="205A5AA0"/>
    <w:rsid w:val="208574F4"/>
    <w:rsid w:val="20C849C7"/>
    <w:rsid w:val="21124D15"/>
    <w:rsid w:val="2195668B"/>
    <w:rsid w:val="21D65501"/>
    <w:rsid w:val="22411D14"/>
    <w:rsid w:val="2269743B"/>
    <w:rsid w:val="22C74EE2"/>
    <w:rsid w:val="22CB6237"/>
    <w:rsid w:val="22CD14B5"/>
    <w:rsid w:val="22D749BC"/>
    <w:rsid w:val="22E04FF4"/>
    <w:rsid w:val="22E1121B"/>
    <w:rsid w:val="2386039A"/>
    <w:rsid w:val="23D17D7B"/>
    <w:rsid w:val="23D36D91"/>
    <w:rsid w:val="23F93D0D"/>
    <w:rsid w:val="2405417E"/>
    <w:rsid w:val="2463385E"/>
    <w:rsid w:val="24C83F94"/>
    <w:rsid w:val="250D450C"/>
    <w:rsid w:val="25134332"/>
    <w:rsid w:val="25141A5B"/>
    <w:rsid w:val="259A3D0A"/>
    <w:rsid w:val="25A95F3E"/>
    <w:rsid w:val="25C35718"/>
    <w:rsid w:val="25D0248E"/>
    <w:rsid w:val="25FB5636"/>
    <w:rsid w:val="26070462"/>
    <w:rsid w:val="260D2C45"/>
    <w:rsid w:val="26395C92"/>
    <w:rsid w:val="26C472EC"/>
    <w:rsid w:val="27342901"/>
    <w:rsid w:val="27470B72"/>
    <w:rsid w:val="279B1E53"/>
    <w:rsid w:val="27AB7429"/>
    <w:rsid w:val="27DD45ED"/>
    <w:rsid w:val="281F4F67"/>
    <w:rsid w:val="28485D62"/>
    <w:rsid w:val="28C96C14"/>
    <w:rsid w:val="28E27EA9"/>
    <w:rsid w:val="28E87EE4"/>
    <w:rsid w:val="291B1480"/>
    <w:rsid w:val="294E766A"/>
    <w:rsid w:val="296421B5"/>
    <w:rsid w:val="2978319A"/>
    <w:rsid w:val="29B01C34"/>
    <w:rsid w:val="29DE15A2"/>
    <w:rsid w:val="29EF424E"/>
    <w:rsid w:val="29FA7F26"/>
    <w:rsid w:val="2AAC5A06"/>
    <w:rsid w:val="2ABB3D6F"/>
    <w:rsid w:val="2AC70B30"/>
    <w:rsid w:val="2AD74744"/>
    <w:rsid w:val="2AE57C95"/>
    <w:rsid w:val="2B313FC1"/>
    <w:rsid w:val="2B6B1684"/>
    <w:rsid w:val="2B7B70BF"/>
    <w:rsid w:val="2B8B422C"/>
    <w:rsid w:val="2BA07D38"/>
    <w:rsid w:val="2D62469E"/>
    <w:rsid w:val="2D6B40A9"/>
    <w:rsid w:val="2D987372"/>
    <w:rsid w:val="2DCE5F69"/>
    <w:rsid w:val="2DDD4F0A"/>
    <w:rsid w:val="2E34792A"/>
    <w:rsid w:val="2E437E73"/>
    <w:rsid w:val="2E7258DC"/>
    <w:rsid w:val="2E797A78"/>
    <w:rsid w:val="2EEA6E65"/>
    <w:rsid w:val="2F00052B"/>
    <w:rsid w:val="2F0367CD"/>
    <w:rsid w:val="2F1251F2"/>
    <w:rsid w:val="2F4F6FBB"/>
    <w:rsid w:val="2FA6492D"/>
    <w:rsid w:val="301A71CE"/>
    <w:rsid w:val="30962F3E"/>
    <w:rsid w:val="30AA2585"/>
    <w:rsid w:val="30D32236"/>
    <w:rsid w:val="30FF2795"/>
    <w:rsid w:val="317206BF"/>
    <w:rsid w:val="317932EA"/>
    <w:rsid w:val="31B718F2"/>
    <w:rsid w:val="31EF7EE8"/>
    <w:rsid w:val="320B7CCB"/>
    <w:rsid w:val="32105DE8"/>
    <w:rsid w:val="325F618E"/>
    <w:rsid w:val="32757E99"/>
    <w:rsid w:val="328E7745"/>
    <w:rsid w:val="328F5534"/>
    <w:rsid w:val="329A6ACE"/>
    <w:rsid w:val="32DF351E"/>
    <w:rsid w:val="32F87AED"/>
    <w:rsid w:val="330C22FC"/>
    <w:rsid w:val="336D3016"/>
    <w:rsid w:val="33737F51"/>
    <w:rsid w:val="343A1527"/>
    <w:rsid w:val="344C1BCC"/>
    <w:rsid w:val="34872D27"/>
    <w:rsid w:val="34DA26A8"/>
    <w:rsid w:val="350036BA"/>
    <w:rsid w:val="350B42D5"/>
    <w:rsid w:val="351A603C"/>
    <w:rsid w:val="3539550B"/>
    <w:rsid w:val="3573649F"/>
    <w:rsid w:val="358F6BDF"/>
    <w:rsid w:val="36121506"/>
    <w:rsid w:val="361F3323"/>
    <w:rsid w:val="36402EFA"/>
    <w:rsid w:val="368F7E4F"/>
    <w:rsid w:val="36B24AE8"/>
    <w:rsid w:val="36B74F31"/>
    <w:rsid w:val="36BD0DC4"/>
    <w:rsid w:val="36D51D00"/>
    <w:rsid w:val="36D66B5E"/>
    <w:rsid w:val="36E93760"/>
    <w:rsid w:val="3708597F"/>
    <w:rsid w:val="37173233"/>
    <w:rsid w:val="37382526"/>
    <w:rsid w:val="37602E60"/>
    <w:rsid w:val="378229A7"/>
    <w:rsid w:val="3784394E"/>
    <w:rsid w:val="37C94031"/>
    <w:rsid w:val="37D44549"/>
    <w:rsid w:val="37D77B09"/>
    <w:rsid w:val="38342E90"/>
    <w:rsid w:val="38E40A5B"/>
    <w:rsid w:val="39185029"/>
    <w:rsid w:val="39285D57"/>
    <w:rsid w:val="39C2316A"/>
    <w:rsid w:val="39F36281"/>
    <w:rsid w:val="3A226969"/>
    <w:rsid w:val="3A4E1C5D"/>
    <w:rsid w:val="3ACB5746"/>
    <w:rsid w:val="3B8E2153"/>
    <w:rsid w:val="3BB20883"/>
    <w:rsid w:val="3BB755F0"/>
    <w:rsid w:val="3BCB270F"/>
    <w:rsid w:val="3BD96AA6"/>
    <w:rsid w:val="3C0429BF"/>
    <w:rsid w:val="3C1A201A"/>
    <w:rsid w:val="3C371D4B"/>
    <w:rsid w:val="3C471C36"/>
    <w:rsid w:val="3DF95812"/>
    <w:rsid w:val="3E1D4B24"/>
    <w:rsid w:val="3E3A04FA"/>
    <w:rsid w:val="3E441C7D"/>
    <w:rsid w:val="3E490256"/>
    <w:rsid w:val="3EC85E34"/>
    <w:rsid w:val="3ED21F2F"/>
    <w:rsid w:val="3EF36DF0"/>
    <w:rsid w:val="3F053EF6"/>
    <w:rsid w:val="3F253B0C"/>
    <w:rsid w:val="3F4F5AD7"/>
    <w:rsid w:val="3FA827ED"/>
    <w:rsid w:val="3FC956FF"/>
    <w:rsid w:val="3FE86CE8"/>
    <w:rsid w:val="3FFB0F66"/>
    <w:rsid w:val="40146E6B"/>
    <w:rsid w:val="403052F1"/>
    <w:rsid w:val="404E779F"/>
    <w:rsid w:val="40A325E0"/>
    <w:rsid w:val="40EC7D18"/>
    <w:rsid w:val="40ED11A0"/>
    <w:rsid w:val="410B452A"/>
    <w:rsid w:val="41513BC9"/>
    <w:rsid w:val="41D75714"/>
    <w:rsid w:val="41DD3BC3"/>
    <w:rsid w:val="41F466FD"/>
    <w:rsid w:val="4212046B"/>
    <w:rsid w:val="427E0B36"/>
    <w:rsid w:val="42C30254"/>
    <w:rsid w:val="42C42A08"/>
    <w:rsid w:val="42D064B1"/>
    <w:rsid w:val="42DE48A3"/>
    <w:rsid w:val="42F87EC9"/>
    <w:rsid w:val="430E7E66"/>
    <w:rsid w:val="4332317A"/>
    <w:rsid w:val="435B1259"/>
    <w:rsid w:val="43874CD4"/>
    <w:rsid w:val="43CF0206"/>
    <w:rsid w:val="43FE44BA"/>
    <w:rsid w:val="440D5045"/>
    <w:rsid w:val="443740AF"/>
    <w:rsid w:val="444851FA"/>
    <w:rsid w:val="44957F46"/>
    <w:rsid w:val="44F03F8F"/>
    <w:rsid w:val="45275172"/>
    <w:rsid w:val="45332511"/>
    <w:rsid w:val="45412C46"/>
    <w:rsid w:val="45514AD5"/>
    <w:rsid w:val="455908C0"/>
    <w:rsid w:val="45A82F38"/>
    <w:rsid w:val="45BE6191"/>
    <w:rsid w:val="460C5979"/>
    <w:rsid w:val="46107D26"/>
    <w:rsid w:val="46143B66"/>
    <w:rsid w:val="463246EC"/>
    <w:rsid w:val="463A3547"/>
    <w:rsid w:val="46B80AF8"/>
    <w:rsid w:val="46D71533"/>
    <w:rsid w:val="473069AF"/>
    <w:rsid w:val="479128A9"/>
    <w:rsid w:val="47975EDC"/>
    <w:rsid w:val="47C01792"/>
    <w:rsid w:val="4808150F"/>
    <w:rsid w:val="480F51A8"/>
    <w:rsid w:val="484759CD"/>
    <w:rsid w:val="48713351"/>
    <w:rsid w:val="48802846"/>
    <w:rsid w:val="48E50D90"/>
    <w:rsid w:val="48FA15CC"/>
    <w:rsid w:val="498A16CD"/>
    <w:rsid w:val="49A750B5"/>
    <w:rsid w:val="49C84AA0"/>
    <w:rsid w:val="4A10111F"/>
    <w:rsid w:val="4A255046"/>
    <w:rsid w:val="4A5A756D"/>
    <w:rsid w:val="4A785772"/>
    <w:rsid w:val="4AA341CC"/>
    <w:rsid w:val="4AC13295"/>
    <w:rsid w:val="4AC31003"/>
    <w:rsid w:val="4AE072CB"/>
    <w:rsid w:val="4AE93159"/>
    <w:rsid w:val="4B830F9B"/>
    <w:rsid w:val="4BD0339A"/>
    <w:rsid w:val="4BF32495"/>
    <w:rsid w:val="4C2B4DDD"/>
    <w:rsid w:val="4C603F16"/>
    <w:rsid w:val="4C923A72"/>
    <w:rsid w:val="4CF52D94"/>
    <w:rsid w:val="4D462159"/>
    <w:rsid w:val="4DAF14C5"/>
    <w:rsid w:val="4DC605B6"/>
    <w:rsid w:val="4DEC0985"/>
    <w:rsid w:val="4E27683A"/>
    <w:rsid w:val="4E4C50A3"/>
    <w:rsid w:val="4E576363"/>
    <w:rsid w:val="4EDB58B2"/>
    <w:rsid w:val="4F285975"/>
    <w:rsid w:val="4FB208E7"/>
    <w:rsid w:val="4FE42140"/>
    <w:rsid w:val="500815B6"/>
    <w:rsid w:val="500B39BC"/>
    <w:rsid w:val="502B2292"/>
    <w:rsid w:val="503F32CF"/>
    <w:rsid w:val="507E1B25"/>
    <w:rsid w:val="5090223F"/>
    <w:rsid w:val="50BB6306"/>
    <w:rsid w:val="50E524BB"/>
    <w:rsid w:val="50FC4E36"/>
    <w:rsid w:val="5105169B"/>
    <w:rsid w:val="51230220"/>
    <w:rsid w:val="51471753"/>
    <w:rsid w:val="514E4912"/>
    <w:rsid w:val="51867298"/>
    <w:rsid w:val="51953936"/>
    <w:rsid w:val="51D129CA"/>
    <w:rsid w:val="52E04D27"/>
    <w:rsid w:val="530C0E6B"/>
    <w:rsid w:val="53131C60"/>
    <w:rsid w:val="53D6247A"/>
    <w:rsid w:val="53DB3477"/>
    <w:rsid w:val="53E77CBF"/>
    <w:rsid w:val="542C29CD"/>
    <w:rsid w:val="54B56DF4"/>
    <w:rsid w:val="54B93943"/>
    <w:rsid w:val="54BF52B5"/>
    <w:rsid w:val="54DD41DB"/>
    <w:rsid w:val="54ED3D78"/>
    <w:rsid w:val="559E3B0D"/>
    <w:rsid w:val="55A2481C"/>
    <w:rsid w:val="55B63FD5"/>
    <w:rsid w:val="55D40743"/>
    <w:rsid w:val="55DD6F2A"/>
    <w:rsid w:val="56106284"/>
    <w:rsid w:val="5632642A"/>
    <w:rsid w:val="56375B61"/>
    <w:rsid w:val="56630C00"/>
    <w:rsid w:val="56A55214"/>
    <w:rsid w:val="56D25618"/>
    <w:rsid w:val="5705646B"/>
    <w:rsid w:val="5729131D"/>
    <w:rsid w:val="5732705F"/>
    <w:rsid w:val="576476C1"/>
    <w:rsid w:val="57AB6ADD"/>
    <w:rsid w:val="57BE5838"/>
    <w:rsid w:val="57FC07D9"/>
    <w:rsid w:val="58500F22"/>
    <w:rsid w:val="58587379"/>
    <w:rsid w:val="58C93046"/>
    <w:rsid w:val="594079B2"/>
    <w:rsid w:val="5987482A"/>
    <w:rsid w:val="59B21BF9"/>
    <w:rsid w:val="59BB4EA3"/>
    <w:rsid w:val="5A3C0F08"/>
    <w:rsid w:val="5A5663A3"/>
    <w:rsid w:val="5ACC4940"/>
    <w:rsid w:val="5AD86A6D"/>
    <w:rsid w:val="5AEC14F6"/>
    <w:rsid w:val="5B785E83"/>
    <w:rsid w:val="5B7C1CD1"/>
    <w:rsid w:val="5C097C4E"/>
    <w:rsid w:val="5C6B1600"/>
    <w:rsid w:val="5C7D70D1"/>
    <w:rsid w:val="5CA6294E"/>
    <w:rsid w:val="5D034EE9"/>
    <w:rsid w:val="5D4E2851"/>
    <w:rsid w:val="5D5B7098"/>
    <w:rsid w:val="5D6E1B86"/>
    <w:rsid w:val="5D8A2CFF"/>
    <w:rsid w:val="5DD71C7A"/>
    <w:rsid w:val="5DF752A0"/>
    <w:rsid w:val="5DFD51DB"/>
    <w:rsid w:val="5E5203B8"/>
    <w:rsid w:val="5E831398"/>
    <w:rsid w:val="5EED7893"/>
    <w:rsid w:val="5F042D59"/>
    <w:rsid w:val="5F875C0C"/>
    <w:rsid w:val="5F8F0B9E"/>
    <w:rsid w:val="5FFE57B7"/>
    <w:rsid w:val="607C3753"/>
    <w:rsid w:val="608D1D4E"/>
    <w:rsid w:val="6092569C"/>
    <w:rsid w:val="609464BE"/>
    <w:rsid w:val="60C30855"/>
    <w:rsid w:val="60D4742F"/>
    <w:rsid w:val="60E06DEB"/>
    <w:rsid w:val="61421EFD"/>
    <w:rsid w:val="615C5041"/>
    <w:rsid w:val="621542CB"/>
    <w:rsid w:val="625272C3"/>
    <w:rsid w:val="625B057C"/>
    <w:rsid w:val="62C376AC"/>
    <w:rsid w:val="62D2197B"/>
    <w:rsid w:val="62F6011A"/>
    <w:rsid w:val="63F47D2A"/>
    <w:rsid w:val="64264A79"/>
    <w:rsid w:val="64311867"/>
    <w:rsid w:val="64806303"/>
    <w:rsid w:val="649B1AC2"/>
    <w:rsid w:val="64C86505"/>
    <w:rsid w:val="65076491"/>
    <w:rsid w:val="65083216"/>
    <w:rsid w:val="65460728"/>
    <w:rsid w:val="65DC7985"/>
    <w:rsid w:val="65F5655C"/>
    <w:rsid w:val="6609487E"/>
    <w:rsid w:val="664805B8"/>
    <w:rsid w:val="667C7AEC"/>
    <w:rsid w:val="66A200F8"/>
    <w:rsid w:val="670C6D27"/>
    <w:rsid w:val="67302DC3"/>
    <w:rsid w:val="67570422"/>
    <w:rsid w:val="677A266A"/>
    <w:rsid w:val="67F45538"/>
    <w:rsid w:val="685A4201"/>
    <w:rsid w:val="686318DD"/>
    <w:rsid w:val="68910E52"/>
    <w:rsid w:val="68A34C5C"/>
    <w:rsid w:val="691C3525"/>
    <w:rsid w:val="69280874"/>
    <w:rsid w:val="695D6B21"/>
    <w:rsid w:val="69611EE7"/>
    <w:rsid w:val="696F4D5D"/>
    <w:rsid w:val="69850877"/>
    <w:rsid w:val="6A3E2393"/>
    <w:rsid w:val="6A7B4B9C"/>
    <w:rsid w:val="6AD3247E"/>
    <w:rsid w:val="6B2C13E4"/>
    <w:rsid w:val="6B4E68B9"/>
    <w:rsid w:val="6B69494B"/>
    <w:rsid w:val="6B884219"/>
    <w:rsid w:val="6B8D184A"/>
    <w:rsid w:val="6BE05A3A"/>
    <w:rsid w:val="6C45610F"/>
    <w:rsid w:val="6C89456C"/>
    <w:rsid w:val="6CA20D5B"/>
    <w:rsid w:val="6D056EA6"/>
    <w:rsid w:val="6D3C6626"/>
    <w:rsid w:val="6D9E0566"/>
    <w:rsid w:val="6DCD67FA"/>
    <w:rsid w:val="6E4B0158"/>
    <w:rsid w:val="6E685B0A"/>
    <w:rsid w:val="6E73404A"/>
    <w:rsid w:val="6EB829B1"/>
    <w:rsid w:val="6ED86D3E"/>
    <w:rsid w:val="6EEC3F7C"/>
    <w:rsid w:val="6F0D382C"/>
    <w:rsid w:val="6F633A49"/>
    <w:rsid w:val="6FA629D4"/>
    <w:rsid w:val="6FBF4710"/>
    <w:rsid w:val="6FDB518F"/>
    <w:rsid w:val="70172090"/>
    <w:rsid w:val="70570007"/>
    <w:rsid w:val="708746BC"/>
    <w:rsid w:val="709E3D85"/>
    <w:rsid w:val="70BB2EF0"/>
    <w:rsid w:val="70C70B7A"/>
    <w:rsid w:val="71015D6B"/>
    <w:rsid w:val="71573E01"/>
    <w:rsid w:val="71702748"/>
    <w:rsid w:val="71867894"/>
    <w:rsid w:val="720B2A1D"/>
    <w:rsid w:val="727C422C"/>
    <w:rsid w:val="72A20C20"/>
    <w:rsid w:val="72CF1AC7"/>
    <w:rsid w:val="734F4185"/>
    <w:rsid w:val="7363274A"/>
    <w:rsid w:val="73BE7067"/>
    <w:rsid w:val="74273820"/>
    <w:rsid w:val="74355B0B"/>
    <w:rsid w:val="748D52FA"/>
    <w:rsid w:val="74993216"/>
    <w:rsid w:val="74A81155"/>
    <w:rsid w:val="75202656"/>
    <w:rsid w:val="75955DA9"/>
    <w:rsid w:val="75B15C41"/>
    <w:rsid w:val="75F20996"/>
    <w:rsid w:val="75FF2E19"/>
    <w:rsid w:val="764838B9"/>
    <w:rsid w:val="7692667A"/>
    <w:rsid w:val="76982273"/>
    <w:rsid w:val="769A7352"/>
    <w:rsid w:val="76EC51FD"/>
    <w:rsid w:val="76F410B8"/>
    <w:rsid w:val="77451578"/>
    <w:rsid w:val="77870D91"/>
    <w:rsid w:val="779A096B"/>
    <w:rsid w:val="779B52FF"/>
    <w:rsid w:val="77A00E75"/>
    <w:rsid w:val="77B841F3"/>
    <w:rsid w:val="77BD3C65"/>
    <w:rsid w:val="78497C2E"/>
    <w:rsid w:val="786A4053"/>
    <w:rsid w:val="78782A0D"/>
    <w:rsid w:val="787B7E18"/>
    <w:rsid w:val="788720E7"/>
    <w:rsid w:val="78C76A01"/>
    <w:rsid w:val="7917381A"/>
    <w:rsid w:val="79D33056"/>
    <w:rsid w:val="79EC0256"/>
    <w:rsid w:val="7A4C2D60"/>
    <w:rsid w:val="7A851D5D"/>
    <w:rsid w:val="7AB53126"/>
    <w:rsid w:val="7AB76FE8"/>
    <w:rsid w:val="7AEA174E"/>
    <w:rsid w:val="7B274176"/>
    <w:rsid w:val="7B2A3A61"/>
    <w:rsid w:val="7B401C79"/>
    <w:rsid w:val="7B4B2A93"/>
    <w:rsid w:val="7C26369C"/>
    <w:rsid w:val="7C2A465C"/>
    <w:rsid w:val="7C9E5A24"/>
    <w:rsid w:val="7CB4006B"/>
    <w:rsid w:val="7CB93ABB"/>
    <w:rsid w:val="7CED34FF"/>
    <w:rsid w:val="7CF26588"/>
    <w:rsid w:val="7CF565D7"/>
    <w:rsid w:val="7D0F5720"/>
    <w:rsid w:val="7D2E198F"/>
    <w:rsid w:val="7D62117D"/>
    <w:rsid w:val="7DA514D2"/>
    <w:rsid w:val="7E3E1EF2"/>
    <w:rsid w:val="7E85174A"/>
    <w:rsid w:val="7ECA4601"/>
    <w:rsid w:val="7EE55F89"/>
    <w:rsid w:val="7EF74FC9"/>
    <w:rsid w:val="7F271AA3"/>
    <w:rsid w:val="7F6B2248"/>
    <w:rsid w:val="7F872588"/>
    <w:rsid w:val="7F8725BA"/>
    <w:rsid w:val="7FEA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semiHidden="0" w:qFormat="1"/>
    <w:lsdException w:name="List" w:semiHidden="0" w:uiPriority="0" w:unhideWhenUsed="0" w:qFormat="1"/>
    <w:lsdException w:name="Title" w:semiHidden="0" w:unhideWhenUsed="0"/>
    <w:lsdException w:name="Default Paragraph Font" w:uiPriority="1"/>
    <w:lsdException w:name="Subtitle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D7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7415D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7415D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7415D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rsid w:val="007415D7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7415D7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415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sid w:val="007415D7"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semiHidden/>
    <w:unhideWhenUsed/>
    <w:qFormat/>
    <w:rsid w:val="007415D7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7415D7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1"/>
    <w:uiPriority w:val="99"/>
    <w:semiHidden/>
    <w:unhideWhenUsed/>
    <w:qFormat/>
    <w:rsid w:val="007415D7"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rsid w:val="00741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semiHidden/>
    <w:qFormat/>
    <w:rsid w:val="007415D7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7415D7"/>
    <w:rPr>
      <w:rFonts w:eastAsiaTheme="minorEastAsia"/>
      <w:b/>
      <w:i/>
      <w:sz w:val="20"/>
    </w:rPr>
  </w:style>
  <w:style w:type="paragraph" w:styleId="a9">
    <w:name w:val="List"/>
    <w:basedOn w:val="a"/>
    <w:qFormat/>
    <w:rsid w:val="007415D7"/>
    <w:pPr>
      <w:ind w:left="568" w:hanging="284"/>
    </w:pPr>
  </w:style>
  <w:style w:type="paragraph" w:styleId="aa">
    <w:name w:val="table of figures"/>
    <w:basedOn w:val="a"/>
    <w:next w:val="a"/>
    <w:uiPriority w:val="99"/>
    <w:semiHidden/>
    <w:unhideWhenUsed/>
    <w:qFormat/>
    <w:rsid w:val="007415D7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7415D7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7415D7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5"/>
    <w:next w:val="a5"/>
    <w:link w:val="Char4"/>
    <w:uiPriority w:val="99"/>
    <w:semiHidden/>
    <w:unhideWhenUsed/>
    <w:qFormat/>
    <w:rsid w:val="007415D7"/>
    <w:rPr>
      <w:b/>
      <w:bCs/>
    </w:rPr>
  </w:style>
  <w:style w:type="table" w:styleId="ad">
    <w:name w:val="Table Grid"/>
    <w:basedOn w:val="a1"/>
    <w:qFormat/>
    <w:rsid w:val="007415D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7415D7"/>
    <w:rPr>
      <w:b/>
      <w:bCs/>
    </w:rPr>
  </w:style>
  <w:style w:type="character" w:styleId="af">
    <w:name w:val="Emphasis"/>
    <w:basedOn w:val="a0"/>
    <w:uiPriority w:val="99"/>
    <w:qFormat/>
    <w:rsid w:val="007415D7"/>
    <w:rPr>
      <w:i/>
    </w:rPr>
  </w:style>
  <w:style w:type="character" w:styleId="af0">
    <w:name w:val="Hyperlink"/>
    <w:uiPriority w:val="99"/>
    <w:qFormat/>
    <w:rsid w:val="007415D7"/>
    <w:rPr>
      <w:color w:val="0000FF"/>
      <w:u w:val="single"/>
    </w:rPr>
  </w:style>
  <w:style w:type="character" w:styleId="af1">
    <w:name w:val="annotation reference"/>
    <w:basedOn w:val="a0"/>
    <w:uiPriority w:val="99"/>
    <w:unhideWhenUsed/>
    <w:qFormat/>
    <w:rsid w:val="007415D7"/>
    <w:rPr>
      <w:sz w:val="16"/>
      <w:szCs w:val="16"/>
    </w:rPr>
  </w:style>
  <w:style w:type="paragraph" w:customStyle="1" w:styleId="YJ-Proposal">
    <w:name w:val="YJ-Proposal"/>
    <w:basedOn w:val="a"/>
    <w:qFormat/>
    <w:rsid w:val="007415D7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7415D7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rsid w:val="007415D7"/>
    <w:pPr>
      <w:numPr>
        <w:numId w:val="4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7415D7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rsid w:val="007415D7"/>
    <w:pPr>
      <w:numPr>
        <w:numId w:val="5"/>
      </w:numPr>
    </w:pPr>
  </w:style>
  <w:style w:type="paragraph" w:customStyle="1" w:styleId="11">
    <w:name w:val="样式1"/>
    <w:basedOn w:val="a"/>
    <w:qFormat/>
    <w:rsid w:val="007415D7"/>
  </w:style>
  <w:style w:type="paragraph" w:customStyle="1" w:styleId="LGTdoc">
    <w:name w:val="LGTdoc_본문"/>
    <w:basedOn w:val="a"/>
    <w:qFormat/>
    <w:rsid w:val="007415D7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3">
    <w:name w:val="页眉 Char"/>
    <w:basedOn w:val="a0"/>
    <w:link w:val="a8"/>
    <w:semiHidden/>
    <w:qFormat/>
    <w:rsid w:val="007415D7"/>
    <w:rPr>
      <w:rFonts w:eastAsia="宋体"/>
      <w:kern w:val="2"/>
      <w:sz w:val="21"/>
    </w:rPr>
  </w:style>
  <w:style w:type="character" w:customStyle="1" w:styleId="Char2">
    <w:name w:val="页脚 Char"/>
    <w:basedOn w:val="a0"/>
    <w:link w:val="a7"/>
    <w:uiPriority w:val="99"/>
    <w:qFormat/>
    <w:rsid w:val="007415D7"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rsid w:val="007415D7"/>
    <w:pPr>
      <w:spacing w:line="240" w:lineRule="auto"/>
      <w:ind w:firstLineChars="200" w:firstLine="1440"/>
    </w:pPr>
    <w:rPr>
      <w:rFonts w:eastAsia="Times New Roman" w:cs="宋体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7415D7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7415D7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uiPriority w:val="99"/>
    <w:semiHidden/>
    <w:qFormat/>
    <w:rsid w:val="007415D7"/>
    <w:rPr>
      <w:kern w:val="2"/>
      <w:sz w:val="21"/>
    </w:rPr>
  </w:style>
  <w:style w:type="character" w:customStyle="1" w:styleId="Char4">
    <w:name w:val="批注主题 Char"/>
    <w:basedOn w:val="Char0"/>
    <w:link w:val="ac"/>
    <w:qFormat/>
    <w:rsid w:val="007415D7"/>
    <w:rPr>
      <w:kern w:val="2"/>
      <w:sz w:val="21"/>
    </w:rPr>
  </w:style>
  <w:style w:type="paragraph" w:customStyle="1" w:styleId="subullet">
    <w:name w:val="subullet"/>
    <w:basedOn w:val="a"/>
    <w:qFormat/>
    <w:rsid w:val="007415D7"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rsid w:val="007415D7"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rsid w:val="007415D7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9"/>
    <w:qFormat/>
    <w:rsid w:val="007415D7"/>
  </w:style>
  <w:style w:type="paragraph" w:customStyle="1" w:styleId="B3">
    <w:name w:val="B3"/>
    <w:basedOn w:val="a"/>
    <w:qFormat/>
    <w:rsid w:val="007415D7"/>
    <w:pPr>
      <w:ind w:left="1135" w:hanging="284"/>
    </w:pPr>
  </w:style>
  <w:style w:type="character" w:styleId="af3">
    <w:name w:val="Placeholder Text"/>
    <w:basedOn w:val="a0"/>
    <w:uiPriority w:val="99"/>
    <w:semiHidden/>
    <w:qFormat/>
    <w:rsid w:val="007415D7"/>
    <w:rPr>
      <w:color w:val="808080"/>
    </w:rPr>
  </w:style>
  <w:style w:type="paragraph" w:customStyle="1" w:styleId="EQ">
    <w:name w:val="EQ"/>
    <w:basedOn w:val="a"/>
    <w:next w:val="a"/>
    <w:qFormat/>
    <w:rsid w:val="007415D7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rsid w:val="007415D7"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rsid w:val="007415D7"/>
    <w:pPr>
      <w:ind w:left="1418" w:hanging="284"/>
    </w:pPr>
  </w:style>
  <w:style w:type="character" w:customStyle="1" w:styleId="4Char">
    <w:name w:val="标题 4 Char"/>
    <w:basedOn w:val="a0"/>
    <w:link w:val="4"/>
    <w:qFormat/>
    <w:rsid w:val="007415D7"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sid w:val="007415D7"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sid w:val="007415D7"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rsid w:val="007415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7415D7"/>
    <w:pPr>
      <w:jc w:val="center"/>
    </w:pPr>
  </w:style>
  <w:style w:type="paragraph" w:customStyle="1" w:styleId="TAL">
    <w:name w:val="TAL"/>
    <w:basedOn w:val="a"/>
    <w:qFormat/>
    <w:rsid w:val="007415D7"/>
    <w:pPr>
      <w:keepNext/>
      <w:keepLines/>
    </w:pPr>
    <w:rPr>
      <w:rFonts w:ascii="Arial" w:hAnsi="Arial"/>
      <w:sz w:val="18"/>
    </w:rPr>
  </w:style>
  <w:style w:type="paragraph" w:styleId="af4">
    <w:name w:val="Revision"/>
    <w:hidden/>
    <w:uiPriority w:val="99"/>
    <w:unhideWhenUsed/>
    <w:rsid w:val="00081451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DA4984-D563-4825-BA58-228E1D88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1901</Words>
  <Characters>10841</Characters>
  <Application>Microsoft Office Word</Application>
  <DocSecurity>0</DocSecurity>
  <Lines>90</Lines>
  <Paragraphs>25</Paragraphs>
  <ScaleCrop>false</ScaleCrop>
  <Company>ZTE</Company>
  <LinksUpToDate>false</LinksUpToDate>
  <CharactersWithSpaces>12717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11</cp:revision>
  <dcterms:created xsi:type="dcterms:W3CDTF">2021-01-15T06:03:00Z</dcterms:created>
  <dcterms:modified xsi:type="dcterms:W3CDTF">2021-01-19T01:52:00Z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